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589F6E" w14:textId="589BEBDB" w:rsidR="009B0F93" w:rsidRPr="00BE615F" w:rsidRDefault="00421EAB" w:rsidP="00BB293A">
      <w:pPr>
        <w:rPr>
          <w:b/>
          <w:bCs/>
          <w:color w:val="000000" w:themeColor="text1"/>
        </w:rPr>
      </w:pPr>
      <w:r w:rsidRPr="00BE615F">
        <w:rPr>
          <w:b/>
          <w:bCs/>
          <w:color w:val="000000" w:themeColor="text1"/>
        </w:rPr>
        <w:t xml:space="preserve">RESOLUÇÃO CSDP Nº </w:t>
      </w:r>
      <w:r w:rsidR="00453C81" w:rsidRPr="00BE615F">
        <w:rPr>
          <w:b/>
          <w:bCs/>
          <w:color w:val="000000" w:themeColor="text1"/>
        </w:rPr>
        <w:t>2</w:t>
      </w:r>
      <w:r w:rsidR="00245DE6" w:rsidRPr="00BE615F">
        <w:rPr>
          <w:b/>
          <w:bCs/>
          <w:color w:val="000000" w:themeColor="text1"/>
        </w:rPr>
        <w:t>4</w:t>
      </w:r>
      <w:r w:rsidR="003F0A81">
        <w:rPr>
          <w:b/>
          <w:bCs/>
          <w:color w:val="000000" w:themeColor="text1"/>
        </w:rPr>
        <w:t>8</w:t>
      </w:r>
      <w:r w:rsidR="00AC6724" w:rsidRPr="00BE615F">
        <w:rPr>
          <w:b/>
          <w:bCs/>
          <w:color w:val="000000" w:themeColor="text1"/>
        </w:rPr>
        <w:t xml:space="preserve">, DE </w:t>
      </w:r>
      <w:r w:rsidR="009A12BB" w:rsidRPr="00BE615F">
        <w:rPr>
          <w:b/>
          <w:bCs/>
          <w:color w:val="000000" w:themeColor="text1"/>
        </w:rPr>
        <w:t>04</w:t>
      </w:r>
      <w:r w:rsidR="00DC17D3" w:rsidRPr="00BE615F">
        <w:rPr>
          <w:b/>
          <w:bCs/>
          <w:color w:val="000000" w:themeColor="text1"/>
        </w:rPr>
        <w:t xml:space="preserve"> DE </w:t>
      </w:r>
      <w:r w:rsidR="009A12BB" w:rsidRPr="00BE615F">
        <w:rPr>
          <w:b/>
          <w:bCs/>
          <w:color w:val="000000" w:themeColor="text1"/>
        </w:rPr>
        <w:t>JUNHO</w:t>
      </w:r>
      <w:r w:rsidR="00DC17D3" w:rsidRPr="00BE615F">
        <w:rPr>
          <w:b/>
          <w:bCs/>
          <w:color w:val="000000" w:themeColor="text1"/>
        </w:rPr>
        <w:t xml:space="preserve"> DE 20</w:t>
      </w:r>
      <w:r w:rsidR="00245DE6" w:rsidRPr="00BE615F">
        <w:rPr>
          <w:b/>
          <w:bCs/>
          <w:color w:val="000000" w:themeColor="text1"/>
        </w:rPr>
        <w:t>20</w:t>
      </w:r>
      <w:r w:rsidR="00DC17D3" w:rsidRPr="00BE615F">
        <w:rPr>
          <w:b/>
          <w:bCs/>
          <w:color w:val="000000" w:themeColor="text1"/>
        </w:rPr>
        <w:t>.</w:t>
      </w:r>
    </w:p>
    <w:p w14:paraId="4BE93858" w14:textId="77777777" w:rsidR="000660B7" w:rsidRPr="00BE615F" w:rsidRDefault="000660B7" w:rsidP="00BB293A">
      <w:pPr>
        <w:jc w:val="both"/>
        <w:rPr>
          <w:color w:val="000000" w:themeColor="text1"/>
        </w:rPr>
      </w:pPr>
    </w:p>
    <w:p w14:paraId="32FF7E3B" w14:textId="3FB45979" w:rsidR="00121221" w:rsidRPr="00BE615F" w:rsidRDefault="006F5FB1" w:rsidP="00DC4D8B">
      <w:pPr>
        <w:ind w:left="3969"/>
        <w:jc w:val="both"/>
        <w:rPr>
          <w:color w:val="000000" w:themeColor="text1"/>
        </w:rPr>
      </w:pPr>
      <w:r w:rsidRPr="00BE615F">
        <w:rPr>
          <w:color w:val="000000" w:themeColor="text1"/>
        </w:rPr>
        <w:t xml:space="preserve">Altera a </w:t>
      </w:r>
      <w:r w:rsidR="00245DE6" w:rsidRPr="00BE615F">
        <w:rPr>
          <w:color w:val="000000" w:themeColor="text1"/>
        </w:rPr>
        <w:t>Resoluç</w:t>
      </w:r>
      <w:r w:rsidR="009A12BB" w:rsidRPr="00BE615F">
        <w:rPr>
          <w:color w:val="000000" w:themeColor="text1"/>
        </w:rPr>
        <w:t>ão</w:t>
      </w:r>
      <w:r w:rsidR="00245DE6" w:rsidRPr="00BE615F">
        <w:rPr>
          <w:color w:val="000000" w:themeColor="text1"/>
        </w:rPr>
        <w:t xml:space="preserve"> CSDP N° </w:t>
      </w:r>
      <w:r w:rsidR="009A12BB" w:rsidRPr="00BE615F">
        <w:rPr>
          <w:color w:val="000000" w:themeColor="text1"/>
        </w:rPr>
        <w:t>239</w:t>
      </w:r>
      <w:r w:rsidR="00245DE6" w:rsidRPr="00BE615F">
        <w:rPr>
          <w:color w:val="000000" w:themeColor="text1"/>
        </w:rPr>
        <w:t xml:space="preserve">, </w:t>
      </w:r>
      <w:r w:rsidR="009A12BB" w:rsidRPr="00BE615F">
        <w:rPr>
          <w:color w:val="000000" w:themeColor="text1"/>
        </w:rPr>
        <w:t>de 16 de março de 2020, que dispõe sobre o procedimento para a formação de lista tríplice e escolha do (a) Ouvido</w:t>
      </w:r>
      <w:r w:rsidR="003F0A81">
        <w:rPr>
          <w:color w:val="000000" w:themeColor="text1"/>
        </w:rPr>
        <w:t xml:space="preserve">r </w:t>
      </w:r>
      <w:r w:rsidR="009A12BB" w:rsidRPr="00BE615F">
        <w:rPr>
          <w:color w:val="000000" w:themeColor="text1"/>
        </w:rPr>
        <w:t>(a) Geral da Defensoria Pública do Estado do Pará e dá outras providências.</w:t>
      </w:r>
    </w:p>
    <w:p w14:paraId="0A6B45E9" w14:textId="77777777" w:rsidR="009A12BB" w:rsidRPr="00BE615F" w:rsidRDefault="009A12BB" w:rsidP="009A12BB">
      <w:pPr>
        <w:ind w:left="3402"/>
        <w:jc w:val="both"/>
        <w:rPr>
          <w:color w:val="000000" w:themeColor="text1"/>
        </w:rPr>
      </w:pPr>
    </w:p>
    <w:p w14:paraId="6691C4F7" w14:textId="77777777" w:rsidR="006F5FB1" w:rsidRPr="00BE615F" w:rsidRDefault="006F5FB1" w:rsidP="00BB293A">
      <w:pPr>
        <w:jc w:val="both"/>
        <w:rPr>
          <w:color w:val="000000" w:themeColor="text1"/>
        </w:rPr>
      </w:pPr>
      <w:r w:rsidRPr="00BE615F">
        <w:rPr>
          <w:color w:val="000000" w:themeColor="text1"/>
        </w:rPr>
        <w:t>O CONSELHO SUPERIOR DA DEFENSORIA PÚBLICA DO ESTADO DO PARÁ, no uso de suas atribuições que lhe confere a Lei Complementar nº 054, de 07 de fevereiro de 2006;</w:t>
      </w:r>
    </w:p>
    <w:p w14:paraId="013E376A" w14:textId="77777777" w:rsidR="009075BE" w:rsidRPr="00BE615F" w:rsidRDefault="009075BE" w:rsidP="00BB293A">
      <w:pPr>
        <w:jc w:val="both"/>
        <w:rPr>
          <w:color w:val="000000" w:themeColor="text1"/>
        </w:rPr>
      </w:pPr>
    </w:p>
    <w:p w14:paraId="5445D80F" w14:textId="77777777" w:rsidR="009A12BB" w:rsidRPr="00BE615F" w:rsidRDefault="009A12BB" w:rsidP="00BB293A">
      <w:pPr>
        <w:pStyle w:val="NormalWeb"/>
        <w:spacing w:before="0" w:after="0"/>
        <w:jc w:val="both"/>
        <w:rPr>
          <w:color w:val="000000" w:themeColor="text1"/>
        </w:rPr>
      </w:pPr>
      <w:r w:rsidRPr="00BE615F">
        <w:rPr>
          <w:color w:val="000000" w:themeColor="text1"/>
        </w:rPr>
        <w:t>CONSIDERANDO os últimos eventos adotados, tanto no âmbito nacional, quanto no estadual, relacionados às medidas a serem adotadas para prevenção ao contágio da doença COVID-19;</w:t>
      </w:r>
    </w:p>
    <w:p w14:paraId="135BB5BE" w14:textId="77777777" w:rsidR="009A12BB" w:rsidRPr="00BE615F" w:rsidRDefault="009A12BB" w:rsidP="00BB293A">
      <w:pPr>
        <w:pStyle w:val="NormalWeb"/>
        <w:spacing w:before="0" w:after="0"/>
        <w:jc w:val="both"/>
        <w:rPr>
          <w:color w:val="000000" w:themeColor="text1"/>
        </w:rPr>
      </w:pPr>
    </w:p>
    <w:p w14:paraId="50B69AFE" w14:textId="77777777" w:rsidR="009A12BB" w:rsidRPr="00BE615F" w:rsidRDefault="009A12BB" w:rsidP="00BB293A">
      <w:pPr>
        <w:pStyle w:val="NormalWeb"/>
        <w:spacing w:before="0" w:after="0"/>
        <w:jc w:val="both"/>
        <w:rPr>
          <w:color w:val="000000" w:themeColor="text1"/>
        </w:rPr>
      </w:pPr>
      <w:r w:rsidRPr="00BE615F">
        <w:rPr>
          <w:color w:val="000000" w:themeColor="text1"/>
        </w:rPr>
        <w:t xml:space="preserve">CONSIDERANDO as recomendações da Organização Mundial de </w:t>
      </w:r>
      <w:proofErr w:type="spellStart"/>
      <w:r w:rsidRPr="00BE615F">
        <w:rPr>
          <w:color w:val="000000" w:themeColor="text1"/>
        </w:rPr>
        <w:t>Saúde-OMS</w:t>
      </w:r>
      <w:proofErr w:type="spellEnd"/>
      <w:r w:rsidRPr="00BE615F">
        <w:rPr>
          <w:color w:val="000000" w:themeColor="text1"/>
        </w:rPr>
        <w:t xml:space="preserve"> para as medidas de prevenção ao contágio da doença COVID-19;</w:t>
      </w:r>
    </w:p>
    <w:p w14:paraId="1FEA1B62" w14:textId="77777777" w:rsidR="009A12BB" w:rsidRPr="00BE615F" w:rsidRDefault="009A12BB" w:rsidP="00BB293A">
      <w:pPr>
        <w:pStyle w:val="NormalWeb"/>
        <w:spacing w:before="0" w:after="0"/>
        <w:jc w:val="both"/>
        <w:rPr>
          <w:color w:val="000000" w:themeColor="text1"/>
        </w:rPr>
      </w:pPr>
    </w:p>
    <w:p w14:paraId="06ECA6E3" w14:textId="0864D91E" w:rsidR="009A12BB" w:rsidRPr="00BE615F" w:rsidRDefault="009A12BB" w:rsidP="00BB293A">
      <w:pPr>
        <w:pStyle w:val="NormalWeb"/>
        <w:spacing w:before="0" w:after="0"/>
        <w:jc w:val="both"/>
        <w:rPr>
          <w:color w:val="000000" w:themeColor="text1"/>
        </w:rPr>
      </w:pPr>
      <w:r w:rsidRPr="00BE615F">
        <w:rPr>
          <w:color w:val="000000" w:themeColor="text1"/>
        </w:rPr>
        <w:t>CONSIDERANDO as recomendações do Ministério da Saúde para as medidas de prevenção ao contágio da doença COVID-19;</w:t>
      </w:r>
    </w:p>
    <w:p w14:paraId="00D11D8C" w14:textId="77777777" w:rsidR="009A12BB" w:rsidRPr="00BE615F" w:rsidRDefault="009A12BB" w:rsidP="00BB293A">
      <w:pPr>
        <w:pStyle w:val="NormalWeb"/>
        <w:spacing w:before="0" w:after="0"/>
        <w:jc w:val="both"/>
        <w:rPr>
          <w:color w:val="000000" w:themeColor="text1"/>
        </w:rPr>
      </w:pPr>
    </w:p>
    <w:p w14:paraId="6138198F" w14:textId="2AE57E95" w:rsidR="009A12BB" w:rsidRPr="00BE615F" w:rsidRDefault="009A12BB" w:rsidP="00BB293A">
      <w:pPr>
        <w:pStyle w:val="NormalWeb"/>
        <w:spacing w:before="0" w:after="0"/>
        <w:jc w:val="both"/>
        <w:rPr>
          <w:color w:val="000000" w:themeColor="text1"/>
        </w:rPr>
      </w:pPr>
      <w:r w:rsidRPr="00BE615F">
        <w:rPr>
          <w:color w:val="000000" w:themeColor="text1"/>
        </w:rPr>
        <w:t>CONSIDERANDO as medidas adotadas no âmbito da Defensoria Pública do Estado do Pará, por meio da edição das Portarias nº. 68 de 17 de março de 2020 e n.º 71 de 19 de março de 2020 (artigo 4º suspensão de qualquer atividade que implique aglomeração de pessoas);</w:t>
      </w:r>
    </w:p>
    <w:p w14:paraId="1919FE39" w14:textId="77777777" w:rsidR="009A12BB" w:rsidRPr="00BE615F" w:rsidRDefault="009A12BB" w:rsidP="00BB293A">
      <w:pPr>
        <w:pStyle w:val="NormalWeb"/>
        <w:spacing w:before="0" w:after="0"/>
        <w:jc w:val="both"/>
        <w:rPr>
          <w:color w:val="000000" w:themeColor="text1"/>
        </w:rPr>
      </w:pPr>
    </w:p>
    <w:p w14:paraId="6C4A7B7A" w14:textId="0636E4BB" w:rsidR="009A12BB" w:rsidRPr="00BE615F" w:rsidRDefault="009A12BB" w:rsidP="00BB293A">
      <w:pPr>
        <w:pStyle w:val="NormalWeb"/>
        <w:spacing w:before="0" w:after="0"/>
        <w:jc w:val="both"/>
        <w:rPr>
          <w:color w:val="000000" w:themeColor="text1"/>
        </w:rPr>
      </w:pPr>
      <w:r w:rsidRPr="00BE615F">
        <w:rPr>
          <w:color w:val="000000" w:themeColor="text1"/>
        </w:rPr>
        <w:t>CONSIDERANDO que se faz necessário adaptar a rotina administrativa e seus atos a uma nova forma dinâmica com a adoção de inéditas e emergenciais plataformas para a realização de audiências e sessões;</w:t>
      </w:r>
    </w:p>
    <w:p w14:paraId="0BA2D291" w14:textId="77777777" w:rsidR="009A12BB" w:rsidRPr="00BE615F" w:rsidRDefault="009A12BB" w:rsidP="00BB293A">
      <w:pPr>
        <w:pStyle w:val="NormalWeb"/>
        <w:spacing w:before="0" w:after="0"/>
        <w:jc w:val="both"/>
        <w:rPr>
          <w:color w:val="000000" w:themeColor="text1"/>
        </w:rPr>
      </w:pPr>
    </w:p>
    <w:p w14:paraId="6F51F1CC" w14:textId="5DD53A0E" w:rsidR="009A12BB" w:rsidRPr="00BE615F" w:rsidRDefault="009A12BB" w:rsidP="00BB293A">
      <w:pPr>
        <w:pStyle w:val="NormalWeb"/>
        <w:spacing w:before="0" w:after="0"/>
        <w:jc w:val="both"/>
        <w:rPr>
          <w:color w:val="000000" w:themeColor="text1"/>
        </w:rPr>
      </w:pPr>
      <w:r w:rsidRPr="00BE615F">
        <w:rPr>
          <w:color w:val="000000" w:themeColor="text1"/>
        </w:rPr>
        <w:t>CONSIDERANDO a Portaria Nº. 071/2020-GAB/DPG, de 19 de março de 2020, por meio da qual fica suspensa qualquer atividade referente à atuação da Defensoria Pública que implique na aglomeração de pessoas dentre elas audiências, palestras e seminários até o dia 30 de junho de 2020;</w:t>
      </w:r>
    </w:p>
    <w:p w14:paraId="24C289EC" w14:textId="77777777" w:rsidR="009A12BB" w:rsidRPr="00BE615F" w:rsidRDefault="009A12BB" w:rsidP="00BB293A">
      <w:pPr>
        <w:pStyle w:val="NormalWeb"/>
        <w:spacing w:before="0" w:after="0"/>
        <w:jc w:val="both"/>
        <w:rPr>
          <w:color w:val="000000" w:themeColor="text1"/>
        </w:rPr>
      </w:pPr>
    </w:p>
    <w:p w14:paraId="6CFFB49F" w14:textId="3FDB2CEB" w:rsidR="009075BE" w:rsidRPr="00BE615F" w:rsidRDefault="00F20EAA" w:rsidP="00BB293A">
      <w:pPr>
        <w:pStyle w:val="NormalWeb"/>
        <w:spacing w:before="0" w:after="0"/>
        <w:jc w:val="both"/>
        <w:rPr>
          <w:bCs/>
          <w:color w:val="000000" w:themeColor="text1"/>
        </w:rPr>
      </w:pPr>
      <w:r w:rsidRPr="00BE615F">
        <w:rPr>
          <w:bCs/>
          <w:color w:val="000000" w:themeColor="text1"/>
        </w:rPr>
        <w:t>CONSIDERANDO a deliberação</w:t>
      </w:r>
      <w:r w:rsidR="00D733D3" w:rsidRPr="00BE615F">
        <w:rPr>
          <w:bCs/>
          <w:color w:val="000000" w:themeColor="text1"/>
        </w:rPr>
        <w:t xml:space="preserve"> </w:t>
      </w:r>
      <w:r w:rsidR="009075BE" w:rsidRPr="00BE615F">
        <w:rPr>
          <w:bCs/>
          <w:color w:val="000000" w:themeColor="text1"/>
        </w:rPr>
        <w:t>do Egrégio Conselho Superior da Defensoria Pública do Estado do Par</w:t>
      </w:r>
      <w:r w:rsidR="006D327D" w:rsidRPr="00BE615F">
        <w:rPr>
          <w:bCs/>
          <w:color w:val="000000" w:themeColor="text1"/>
        </w:rPr>
        <w:t xml:space="preserve">á </w:t>
      </w:r>
      <w:r w:rsidR="009075BE" w:rsidRPr="00BE615F">
        <w:rPr>
          <w:bCs/>
          <w:color w:val="000000" w:themeColor="text1"/>
        </w:rPr>
        <w:t xml:space="preserve">na </w:t>
      </w:r>
      <w:r w:rsidR="009A12BB" w:rsidRPr="00BE615F">
        <w:rPr>
          <w:bCs/>
          <w:color w:val="000000" w:themeColor="text1"/>
        </w:rPr>
        <w:t>71</w:t>
      </w:r>
      <w:r w:rsidR="009075BE" w:rsidRPr="00BE615F">
        <w:rPr>
          <w:bCs/>
          <w:color w:val="000000" w:themeColor="text1"/>
        </w:rPr>
        <w:t xml:space="preserve">ª Sessão </w:t>
      </w:r>
      <w:r w:rsidR="002E47E7" w:rsidRPr="00BE615F">
        <w:rPr>
          <w:bCs/>
          <w:color w:val="000000" w:themeColor="text1"/>
        </w:rPr>
        <w:t>Extrao</w:t>
      </w:r>
      <w:r w:rsidR="009075BE" w:rsidRPr="00BE615F">
        <w:rPr>
          <w:bCs/>
          <w:color w:val="000000" w:themeColor="text1"/>
        </w:rPr>
        <w:t>rdinária</w:t>
      </w:r>
      <w:r w:rsidR="00841B75" w:rsidRPr="00BE615F">
        <w:rPr>
          <w:bCs/>
          <w:color w:val="000000" w:themeColor="text1"/>
        </w:rPr>
        <w:t>,</w:t>
      </w:r>
      <w:r w:rsidR="009075BE" w:rsidRPr="00BE615F">
        <w:rPr>
          <w:bCs/>
          <w:color w:val="000000" w:themeColor="text1"/>
        </w:rPr>
        <w:t xml:space="preserve"> realiza</w:t>
      </w:r>
      <w:r w:rsidR="00BB293A" w:rsidRPr="00BE615F">
        <w:rPr>
          <w:bCs/>
          <w:color w:val="000000" w:themeColor="text1"/>
        </w:rPr>
        <w:t xml:space="preserve">da no dia </w:t>
      </w:r>
      <w:r w:rsidR="009A12BB" w:rsidRPr="00BE615F">
        <w:rPr>
          <w:bCs/>
          <w:color w:val="000000" w:themeColor="text1"/>
        </w:rPr>
        <w:t>04</w:t>
      </w:r>
      <w:r w:rsidR="00BB293A" w:rsidRPr="00BE615F">
        <w:rPr>
          <w:bCs/>
          <w:color w:val="000000" w:themeColor="text1"/>
        </w:rPr>
        <w:t xml:space="preserve"> de </w:t>
      </w:r>
      <w:r w:rsidR="009A12BB" w:rsidRPr="00BE615F">
        <w:rPr>
          <w:bCs/>
          <w:color w:val="000000" w:themeColor="text1"/>
        </w:rPr>
        <w:t>junho</w:t>
      </w:r>
      <w:r w:rsidR="00BB293A" w:rsidRPr="00BE615F">
        <w:rPr>
          <w:bCs/>
          <w:color w:val="000000" w:themeColor="text1"/>
        </w:rPr>
        <w:t xml:space="preserve"> de 20</w:t>
      </w:r>
      <w:r w:rsidR="00D733D3" w:rsidRPr="00BE615F">
        <w:rPr>
          <w:bCs/>
          <w:color w:val="000000" w:themeColor="text1"/>
        </w:rPr>
        <w:t>20</w:t>
      </w:r>
      <w:r w:rsidR="009075BE" w:rsidRPr="00BE615F">
        <w:rPr>
          <w:bCs/>
          <w:color w:val="000000" w:themeColor="text1"/>
        </w:rPr>
        <w:t>;</w:t>
      </w:r>
    </w:p>
    <w:p w14:paraId="28C13977" w14:textId="77777777" w:rsidR="002E47E7" w:rsidRPr="00BE615F" w:rsidRDefault="002E47E7" w:rsidP="00BB293A">
      <w:pPr>
        <w:pStyle w:val="NormalWeb"/>
        <w:spacing w:before="0" w:after="0"/>
        <w:jc w:val="both"/>
        <w:rPr>
          <w:bCs/>
          <w:color w:val="000000" w:themeColor="text1"/>
        </w:rPr>
      </w:pPr>
    </w:p>
    <w:p w14:paraId="68897C43" w14:textId="4593CC76" w:rsidR="009A12BB" w:rsidRPr="00BE615F" w:rsidRDefault="006F5FB1" w:rsidP="00BB293A">
      <w:pPr>
        <w:jc w:val="both"/>
        <w:rPr>
          <w:color w:val="000000" w:themeColor="text1"/>
        </w:rPr>
      </w:pPr>
      <w:r w:rsidRPr="00BE615F">
        <w:rPr>
          <w:color w:val="000000" w:themeColor="text1"/>
        </w:rPr>
        <w:t>RESOLVE:</w:t>
      </w:r>
    </w:p>
    <w:p w14:paraId="72A0B086" w14:textId="77777777" w:rsidR="009A12BB" w:rsidRPr="00BE615F" w:rsidRDefault="009A12BB" w:rsidP="00BB293A">
      <w:pPr>
        <w:jc w:val="both"/>
        <w:rPr>
          <w:color w:val="000000" w:themeColor="text1"/>
        </w:rPr>
      </w:pPr>
    </w:p>
    <w:p w14:paraId="7A7DF95E" w14:textId="7283697D" w:rsidR="006F5FB1" w:rsidRPr="00BE615F" w:rsidRDefault="006F5FB1" w:rsidP="00FD177C">
      <w:pPr>
        <w:spacing w:after="240"/>
        <w:jc w:val="both"/>
        <w:rPr>
          <w:color w:val="000000" w:themeColor="text1"/>
        </w:rPr>
      </w:pPr>
      <w:r w:rsidRPr="00BE615F">
        <w:rPr>
          <w:b/>
          <w:bCs/>
          <w:color w:val="000000" w:themeColor="text1"/>
        </w:rPr>
        <w:t xml:space="preserve">Art. </w:t>
      </w:r>
      <w:r w:rsidR="009A12BB" w:rsidRPr="00BE615F">
        <w:rPr>
          <w:b/>
          <w:bCs/>
          <w:color w:val="000000" w:themeColor="text1"/>
        </w:rPr>
        <w:t>1</w:t>
      </w:r>
      <w:r w:rsidRPr="00BE615F">
        <w:rPr>
          <w:b/>
          <w:bCs/>
          <w:color w:val="000000" w:themeColor="text1"/>
        </w:rPr>
        <w:t>º</w:t>
      </w:r>
      <w:r w:rsidRPr="00BE615F">
        <w:rPr>
          <w:color w:val="000000" w:themeColor="text1"/>
        </w:rPr>
        <w:t xml:space="preserve"> </w:t>
      </w:r>
      <w:r w:rsidR="00D733D3" w:rsidRPr="00BE615F">
        <w:rPr>
          <w:color w:val="000000" w:themeColor="text1"/>
        </w:rPr>
        <w:t>A</w:t>
      </w:r>
      <w:r w:rsidR="009075BE" w:rsidRPr="00BE615F">
        <w:rPr>
          <w:color w:val="000000" w:themeColor="text1"/>
        </w:rPr>
        <w:t xml:space="preserve"> </w:t>
      </w:r>
      <w:r w:rsidR="00D733D3" w:rsidRPr="00BE615F">
        <w:rPr>
          <w:color w:val="000000" w:themeColor="text1"/>
        </w:rPr>
        <w:t>Resolução CSDP N° 2</w:t>
      </w:r>
      <w:r w:rsidR="009A12BB" w:rsidRPr="00BE615F">
        <w:rPr>
          <w:color w:val="000000" w:themeColor="text1"/>
        </w:rPr>
        <w:t>39</w:t>
      </w:r>
      <w:r w:rsidR="00D733D3" w:rsidRPr="00BE615F">
        <w:rPr>
          <w:color w:val="000000" w:themeColor="text1"/>
        </w:rPr>
        <w:t xml:space="preserve">, </w:t>
      </w:r>
      <w:r w:rsidR="009A12BB" w:rsidRPr="00BE615F">
        <w:rPr>
          <w:color w:val="000000" w:themeColor="text1"/>
        </w:rPr>
        <w:t>de 16 de março de 2020</w:t>
      </w:r>
      <w:r w:rsidR="005D60F3" w:rsidRPr="00BE615F">
        <w:rPr>
          <w:color w:val="000000" w:themeColor="text1"/>
        </w:rPr>
        <w:t>,</w:t>
      </w:r>
      <w:r w:rsidR="009075BE" w:rsidRPr="00BE615F">
        <w:rPr>
          <w:color w:val="000000" w:themeColor="text1"/>
        </w:rPr>
        <w:t xml:space="preserve"> passa a vigorar</w:t>
      </w:r>
      <w:r w:rsidR="00541365" w:rsidRPr="00BE615F">
        <w:rPr>
          <w:color w:val="000000" w:themeColor="text1"/>
        </w:rPr>
        <w:t xml:space="preserve"> com </w:t>
      </w:r>
      <w:r w:rsidR="00FD177C" w:rsidRPr="00BE615F">
        <w:rPr>
          <w:color w:val="000000" w:themeColor="text1"/>
        </w:rPr>
        <w:t>a</w:t>
      </w:r>
      <w:r w:rsidR="00454A11" w:rsidRPr="00BE615F">
        <w:rPr>
          <w:color w:val="000000" w:themeColor="text1"/>
        </w:rPr>
        <w:t>s</w:t>
      </w:r>
      <w:r w:rsidR="00FD177C" w:rsidRPr="00BE615F">
        <w:rPr>
          <w:color w:val="000000" w:themeColor="text1"/>
        </w:rPr>
        <w:t xml:space="preserve"> seguinte</w:t>
      </w:r>
      <w:r w:rsidR="00454A11" w:rsidRPr="00BE615F">
        <w:rPr>
          <w:color w:val="000000" w:themeColor="text1"/>
        </w:rPr>
        <w:t>s</w:t>
      </w:r>
      <w:r w:rsidR="00FD177C" w:rsidRPr="00BE615F">
        <w:rPr>
          <w:color w:val="000000" w:themeColor="text1"/>
        </w:rPr>
        <w:t xml:space="preserve"> </w:t>
      </w:r>
      <w:r w:rsidR="00454A11" w:rsidRPr="00BE615F">
        <w:rPr>
          <w:color w:val="000000" w:themeColor="text1"/>
        </w:rPr>
        <w:t>alterações</w:t>
      </w:r>
      <w:r w:rsidR="009075BE" w:rsidRPr="00BE615F">
        <w:rPr>
          <w:color w:val="000000" w:themeColor="text1"/>
        </w:rPr>
        <w:t xml:space="preserve">: </w:t>
      </w:r>
    </w:p>
    <w:p w14:paraId="2A685A83" w14:textId="77777777" w:rsidR="00B6416C" w:rsidRPr="00BE615F" w:rsidRDefault="009075BE" w:rsidP="00B6416C">
      <w:pPr>
        <w:jc w:val="both"/>
        <w:rPr>
          <w:i/>
          <w:iCs/>
          <w:color w:val="000000" w:themeColor="text1"/>
        </w:rPr>
      </w:pPr>
      <w:r w:rsidRPr="00BE615F">
        <w:rPr>
          <w:bCs/>
          <w:i/>
          <w:color w:val="000000" w:themeColor="text1"/>
          <w:lang w:eastAsia="pt-BR"/>
        </w:rPr>
        <w:t>“</w:t>
      </w:r>
      <w:r w:rsidR="00B6416C" w:rsidRPr="00BE615F">
        <w:rPr>
          <w:i/>
          <w:iCs/>
          <w:color w:val="000000" w:themeColor="text1"/>
        </w:rPr>
        <w:t>Art. 8º. ....................................</w:t>
      </w:r>
    </w:p>
    <w:p w14:paraId="00651A67" w14:textId="77777777" w:rsidR="00B6416C" w:rsidRPr="00BE615F" w:rsidRDefault="00B6416C" w:rsidP="00B6416C">
      <w:pPr>
        <w:jc w:val="both"/>
        <w:rPr>
          <w:i/>
          <w:iCs/>
          <w:color w:val="000000" w:themeColor="text1"/>
        </w:rPr>
      </w:pPr>
    </w:p>
    <w:p w14:paraId="41B2877B" w14:textId="77777777" w:rsidR="00B6416C" w:rsidRPr="00BE615F" w:rsidRDefault="00B6416C" w:rsidP="00B6416C">
      <w:pPr>
        <w:jc w:val="both"/>
        <w:rPr>
          <w:i/>
          <w:iCs/>
          <w:color w:val="000000" w:themeColor="text1"/>
        </w:rPr>
      </w:pPr>
      <w:r w:rsidRPr="00BE615F">
        <w:rPr>
          <w:i/>
          <w:iCs/>
          <w:color w:val="000000" w:themeColor="text1"/>
        </w:rPr>
        <w:t>[...]</w:t>
      </w:r>
    </w:p>
    <w:p w14:paraId="79045E03" w14:textId="77777777" w:rsidR="00B6416C" w:rsidRPr="00BE615F" w:rsidRDefault="00B6416C" w:rsidP="00B6416C">
      <w:pPr>
        <w:ind w:firstLine="1701"/>
        <w:jc w:val="both"/>
        <w:rPr>
          <w:i/>
          <w:iCs/>
          <w:color w:val="000000" w:themeColor="text1"/>
        </w:rPr>
      </w:pPr>
    </w:p>
    <w:p w14:paraId="379789A2" w14:textId="77777777" w:rsidR="00B6416C" w:rsidRPr="00BE615F" w:rsidRDefault="00B6416C" w:rsidP="00B6416C">
      <w:pPr>
        <w:jc w:val="both"/>
        <w:rPr>
          <w:i/>
          <w:iCs/>
          <w:color w:val="000000" w:themeColor="text1"/>
        </w:rPr>
      </w:pPr>
      <w:r w:rsidRPr="00BE615F">
        <w:rPr>
          <w:i/>
          <w:iCs/>
          <w:color w:val="000000" w:themeColor="text1"/>
        </w:rPr>
        <w:t xml:space="preserve">Parágrafo Único - Os cidadãos que pretendam habilitar-se ao cargo de Ouvidor-Geral da Defensoria Pública do Estado do Pará e as entidades civis que desejarem participar da formação da lista tríplice para escolha do(a) Ouvidor(a) Geral deverão apresentar sua inscrição à referida </w:t>
      </w:r>
      <w:r w:rsidRPr="00BE615F">
        <w:rPr>
          <w:i/>
          <w:iCs/>
          <w:color w:val="000000" w:themeColor="text1"/>
        </w:rPr>
        <w:lastRenderedPageBreak/>
        <w:t>Comissão Eleitoral, através do e-mail por esta indicado, no prazo fixado pelo Edital de Abertura e suas posteriores alterações.</w:t>
      </w:r>
    </w:p>
    <w:p w14:paraId="4B87DF19" w14:textId="77777777" w:rsidR="00B6416C" w:rsidRPr="00BE615F" w:rsidRDefault="00B6416C" w:rsidP="00B6416C">
      <w:pPr>
        <w:jc w:val="both"/>
        <w:rPr>
          <w:i/>
          <w:iCs/>
          <w:color w:val="000000" w:themeColor="text1"/>
        </w:rPr>
      </w:pPr>
    </w:p>
    <w:p w14:paraId="3686945B" w14:textId="66B06712" w:rsidR="00B6416C" w:rsidRPr="00BE615F" w:rsidRDefault="00B6416C" w:rsidP="00B6416C">
      <w:pPr>
        <w:jc w:val="both"/>
        <w:rPr>
          <w:i/>
          <w:iCs/>
          <w:color w:val="000000" w:themeColor="text1"/>
        </w:rPr>
      </w:pPr>
      <w:r w:rsidRPr="00BE615F">
        <w:rPr>
          <w:i/>
          <w:iCs/>
          <w:color w:val="000000" w:themeColor="text1"/>
        </w:rPr>
        <w:t>Art. 9º A eleição para o cargo de Ouvidor(a) Geral deverá ocorrer em até 30 (trinta) dias do ato de convocação, salvo se, por razões extraordinárias, devidamente justificadas pela Comissão Eleitoral, tais prazos não puderem ser cumpridos.</w:t>
      </w:r>
    </w:p>
    <w:p w14:paraId="63F62B77" w14:textId="77777777" w:rsidR="00B6416C" w:rsidRPr="00BE615F" w:rsidRDefault="00B6416C" w:rsidP="00B6416C">
      <w:pPr>
        <w:jc w:val="both"/>
        <w:rPr>
          <w:rFonts w:ascii="Palatino Linotype" w:hAnsi="Palatino Linotype"/>
          <w:i/>
          <w:iCs/>
          <w:color w:val="000000" w:themeColor="text1"/>
        </w:rPr>
      </w:pPr>
    </w:p>
    <w:p w14:paraId="75EE6E36" w14:textId="79E6A849" w:rsidR="00B6416C" w:rsidRPr="00BE615F" w:rsidRDefault="00B6416C" w:rsidP="00B6416C">
      <w:pPr>
        <w:jc w:val="both"/>
        <w:rPr>
          <w:i/>
          <w:iCs/>
          <w:color w:val="000000" w:themeColor="text1"/>
        </w:rPr>
      </w:pPr>
      <w:r w:rsidRPr="00BE615F">
        <w:rPr>
          <w:i/>
          <w:iCs/>
          <w:color w:val="000000" w:themeColor="text1"/>
        </w:rPr>
        <w:t>Art. 10</w:t>
      </w:r>
      <w:r w:rsidR="00BE615F" w:rsidRPr="00BE615F">
        <w:rPr>
          <w:i/>
          <w:iCs/>
          <w:color w:val="000000" w:themeColor="text1"/>
        </w:rPr>
        <w:t>.</w:t>
      </w:r>
      <w:r w:rsidRPr="00BE615F">
        <w:rPr>
          <w:i/>
          <w:iCs/>
          <w:color w:val="000000" w:themeColor="text1"/>
        </w:rPr>
        <w:t xml:space="preserve"> Será realizada audiência pública, presencialmente ou em meio virtual, com os seguimentos sociais, para apresentar os fins institucionais da Defensoria Pública, o instituto da ouvidoria externa e os critérios para formação da lista tríplice para escolha do(a) Ouvidor(a) Geral.</w:t>
      </w:r>
    </w:p>
    <w:p w14:paraId="570702BB" w14:textId="77777777" w:rsidR="00B6416C" w:rsidRPr="00BE615F" w:rsidRDefault="00B6416C" w:rsidP="00B6416C">
      <w:pPr>
        <w:jc w:val="both"/>
        <w:rPr>
          <w:i/>
          <w:iCs/>
          <w:color w:val="000000" w:themeColor="text1"/>
        </w:rPr>
      </w:pPr>
    </w:p>
    <w:p w14:paraId="4300962D" w14:textId="77777777" w:rsidR="00B6416C" w:rsidRPr="00BE615F" w:rsidRDefault="00B6416C" w:rsidP="00B6416C">
      <w:pPr>
        <w:jc w:val="both"/>
        <w:rPr>
          <w:i/>
          <w:iCs/>
          <w:color w:val="000000" w:themeColor="text1"/>
        </w:rPr>
      </w:pPr>
      <w:r w:rsidRPr="00BE615F">
        <w:rPr>
          <w:i/>
          <w:iCs/>
          <w:color w:val="000000" w:themeColor="text1"/>
        </w:rPr>
        <w:t>[...]</w:t>
      </w:r>
    </w:p>
    <w:p w14:paraId="088E18D0" w14:textId="77777777" w:rsidR="00B6416C" w:rsidRPr="00BE615F" w:rsidRDefault="00B6416C" w:rsidP="00B6416C">
      <w:pPr>
        <w:jc w:val="both"/>
        <w:rPr>
          <w:i/>
          <w:iCs/>
          <w:color w:val="000000" w:themeColor="text1"/>
        </w:rPr>
      </w:pPr>
    </w:p>
    <w:p w14:paraId="4E5A9C95" w14:textId="77777777" w:rsidR="00B6416C" w:rsidRPr="00BE615F" w:rsidRDefault="00B6416C" w:rsidP="00B6416C">
      <w:pPr>
        <w:jc w:val="both"/>
        <w:rPr>
          <w:i/>
          <w:iCs/>
          <w:color w:val="000000" w:themeColor="text1"/>
        </w:rPr>
      </w:pPr>
      <w:r w:rsidRPr="00BE615F">
        <w:rPr>
          <w:i/>
          <w:iCs/>
          <w:color w:val="000000" w:themeColor="text1"/>
        </w:rPr>
        <w:t>IV - A audiência pública referida será realizada, prioritariamente, em local que favoreça o livre acesso ao público, podendo, ainda, ser realizada em meio virtual.</w:t>
      </w:r>
    </w:p>
    <w:p w14:paraId="7F4821A2" w14:textId="77777777" w:rsidR="00B6416C" w:rsidRPr="00BE615F" w:rsidRDefault="00B6416C" w:rsidP="00B6416C">
      <w:pPr>
        <w:jc w:val="both"/>
        <w:rPr>
          <w:i/>
          <w:iCs/>
          <w:color w:val="000000" w:themeColor="text1"/>
        </w:rPr>
      </w:pPr>
    </w:p>
    <w:p w14:paraId="0D3F2DCE" w14:textId="77777777" w:rsidR="00B6416C" w:rsidRPr="00BE615F" w:rsidRDefault="00B6416C" w:rsidP="00B6416C">
      <w:pPr>
        <w:jc w:val="both"/>
        <w:rPr>
          <w:i/>
          <w:iCs/>
          <w:color w:val="000000" w:themeColor="text1"/>
        </w:rPr>
      </w:pPr>
      <w:r w:rsidRPr="00BE615F">
        <w:rPr>
          <w:i/>
          <w:iCs/>
          <w:color w:val="000000" w:themeColor="text1"/>
        </w:rPr>
        <w:t>Art. 11. ........................</w:t>
      </w:r>
    </w:p>
    <w:p w14:paraId="4BCCE551" w14:textId="77777777" w:rsidR="00B6416C" w:rsidRPr="00BE615F" w:rsidRDefault="00B6416C" w:rsidP="00B6416C">
      <w:pPr>
        <w:tabs>
          <w:tab w:val="left" w:pos="0"/>
        </w:tabs>
        <w:jc w:val="both"/>
        <w:rPr>
          <w:i/>
          <w:iCs/>
          <w:color w:val="000000" w:themeColor="text1"/>
        </w:rPr>
      </w:pPr>
    </w:p>
    <w:p w14:paraId="0E863815" w14:textId="77777777" w:rsidR="00B6416C" w:rsidRPr="00BE615F" w:rsidRDefault="00B6416C" w:rsidP="00B6416C">
      <w:pPr>
        <w:jc w:val="both"/>
        <w:rPr>
          <w:i/>
          <w:iCs/>
          <w:color w:val="000000" w:themeColor="text1"/>
        </w:rPr>
      </w:pPr>
      <w:r w:rsidRPr="00BE615F">
        <w:rPr>
          <w:i/>
          <w:iCs/>
          <w:color w:val="000000" w:themeColor="text1"/>
        </w:rPr>
        <w:t>[...]</w:t>
      </w:r>
    </w:p>
    <w:p w14:paraId="4E22476F" w14:textId="77777777" w:rsidR="00B6416C" w:rsidRPr="00BE615F" w:rsidRDefault="00B6416C" w:rsidP="00B6416C">
      <w:pPr>
        <w:jc w:val="both"/>
        <w:rPr>
          <w:i/>
          <w:iCs/>
          <w:color w:val="000000" w:themeColor="text1"/>
        </w:rPr>
      </w:pPr>
    </w:p>
    <w:p w14:paraId="141B43F2" w14:textId="5E7E6221" w:rsidR="00B6416C" w:rsidRDefault="00B6416C" w:rsidP="00B6416C">
      <w:pPr>
        <w:jc w:val="both"/>
        <w:rPr>
          <w:i/>
          <w:iCs/>
          <w:color w:val="000000" w:themeColor="text1"/>
        </w:rPr>
      </w:pPr>
      <w:r w:rsidRPr="00BE615F">
        <w:rPr>
          <w:i/>
          <w:iCs/>
          <w:color w:val="000000" w:themeColor="text1"/>
        </w:rPr>
        <w:t>V - Ser moralmente idôneo e possuir reputação ilibada, comprovada por meio de certidões criminais das Justiças Estadual e Federal, certidão da Justiça Eleitoral, bem como certidões criminais da Justiça Militar do Estado e da União, assim como certidões de órgão de classe se pertencer a algum;</w:t>
      </w:r>
    </w:p>
    <w:p w14:paraId="318787B2" w14:textId="376D8D3C" w:rsidR="00BE615F" w:rsidRDefault="00BE615F" w:rsidP="00B6416C">
      <w:pPr>
        <w:jc w:val="both"/>
        <w:rPr>
          <w:i/>
          <w:iCs/>
          <w:color w:val="000000" w:themeColor="text1"/>
        </w:rPr>
      </w:pPr>
    </w:p>
    <w:p w14:paraId="00E7595F" w14:textId="77777777" w:rsidR="00D82AD9" w:rsidRPr="00A264E5" w:rsidRDefault="00D82AD9" w:rsidP="00D82AD9">
      <w:pPr>
        <w:jc w:val="both"/>
        <w:rPr>
          <w:i/>
          <w:iCs/>
        </w:rPr>
      </w:pPr>
      <w:r w:rsidRPr="00A264E5">
        <w:rPr>
          <w:i/>
          <w:iCs/>
        </w:rPr>
        <w:t>§ 1º - Será vedada a habilitação:</w:t>
      </w:r>
    </w:p>
    <w:p w14:paraId="465C3C39" w14:textId="77777777" w:rsidR="00D82AD9" w:rsidRPr="00A264E5" w:rsidRDefault="00D82AD9" w:rsidP="00D82AD9">
      <w:pPr>
        <w:jc w:val="both"/>
        <w:rPr>
          <w:i/>
          <w:iCs/>
        </w:rPr>
      </w:pPr>
    </w:p>
    <w:p w14:paraId="5B7F1EB7" w14:textId="77777777" w:rsidR="00D82AD9" w:rsidRPr="00A264E5" w:rsidRDefault="00D82AD9" w:rsidP="00D82AD9">
      <w:pPr>
        <w:jc w:val="both"/>
        <w:rPr>
          <w:i/>
          <w:iCs/>
        </w:rPr>
      </w:pPr>
      <w:r w:rsidRPr="00A264E5">
        <w:rPr>
          <w:i/>
          <w:iCs/>
        </w:rPr>
        <w:t xml:space="preserve">I - De membros da Defensoria Pública do Estado do Pará, ativos ou inativos, de seus servidores, bem como de qualquer pessoa que possua vínculo de parentesco com quaisquer daqueles até o terceiro grau, seja por </w:t>
      </w:r>
      <w:proofErr w:type="spellStart"/>
      <w:r w:rsidRPr="00A264E5">
        <w:rPr>
          <w:i/>
          <w:iCs/>
        </w:rPr>
        <w:t>consaguinidade</w:t>
      </w:r>
      <w:proofErr w:type="spellEnd"/>
      <w:r w:rsidRPr="00A264E5">
        <w:rPr>
          <w:i/>
          <w:iCs/>
        </w:rPr>
        <w:t xml:space="preserve"> ou afinidade;</w:t>
      </w:r>
    </w:p>
    <w:p w14:paraId="36CA26C7" w14:textId="77777777" w:rsidR="00D82AD9" w:rsidRPr="00A264E5" w:rsidRDefault="00D82AD9" w:rsidP="00D82AD9">
      <w:pPr>
        <w:jc w:val="both"/>
        <w:rPr>
          <w:i/>
          <w:iCs/>
        </w:rPr>
      </w:pPr>
    </w:p>
    <w:p w14:paraId="043E6109" w14:textId="77777777" w:rsidR="00D82AD9" w:rsidRPr="00A264E5" w:rsidRDefault="00D82AD9" w:rsidP="00D82AD9">
      <w:pPr>
        <w:jc w:val="both"/>
        <w:rPr>
          <w:i/>
          <w:iCs/>
        </w:rPr>
      </w:pPr>
      <w:r w:rsidRPr="00A264E5">
        <w:rPr>
          <w:i/>
          <w:iCs/>
        </w:rPr>
        <w:t>II - De cidadãos integrantes das carreiras jurídicas de Estado e de Governo, ativos ou inativos.</w:t>
      </w:r>
    </w:p>
    <w:p w14:paraId="681D4758" w14:textId="77777777" w:rsidR="00D82AD9" w:rsidRPr="00A264E5" w:rsidRDefault="00D82AD9" w:rsidP="00D82AD9">
      <w:pPr>
        <w:jc w:val="both"/>
        <w:rPr>
          <w:i/>
          <w:iCs/>
        </w:rPr>
      </w:pPr>
    </w:p>
    <w:p w14:paraId="4646FA32" w14:textId="7E241898" w:rsidR="00D82AD9" w:rsidRPr="00A264E5" w:rsidRDefault="00D82AD9" w:rsidP="00D82AD9">
      <w:pPr>
        <w:jc w:val="both"/>
        <w:rPr>
          <w:color w:val="000000" w:themeColor="text1"/>
        </w:rPr>
      </w:pPr>
      <w:r w:rsidRPr="00A264E5">
        <w:rPr>
          <w:i/>
          <w:iCs/>
        </w:rPr>
        <w:t>§ 2º - Positivada nos documentos mencionados no inciso V a existência de penalidade ou distribuição, caberá ao candidato oferecer esclarecimentos e provas da natureza não prejudicial das ocorrências verificadas, relativamente aos requisitos pessoais exigidos</w:t>
      </w:r>
      <w:r w:rsidR="00875021">
        <w:rPr>
          <w:rStyle w:val="Refdenotaderodap"/>
          <w:i/>
          <w:iCs/>
        </w:rPr>
        <w:footnoteReference w:id="1"/>
      </w:r>
      <w:r>
        <w:rPr>
          <w:i/>
          <w:iCs/>
        </w:rPr>
        <w:t>.</w:t>
      </w:r>
    </w:p>
    <w:p w14:paraId="750A4D7D" w14:textId="77777777" w:rsidR="00B6416C" w:rsidRPr="00BE615F" w:rsidRDefault="00B6416C" w:rsidP="00B6416C">
      <w:pPr>
        <w:jc w:val="both"/>
        <w:rPr>
          <w:i/>
          <w:iCs/>
          <w:color w:val="000000" w:themeColor="text1"/>
        </w:rPr>
      </w:pPr>
    </w:p>
    <w:p w14:paraId="274BA58E" w14:textId="77777777" w:rsidR="00B6416C" w:rsidRPr="00BE615F" w:rsidRDefault="00B6416C" w:rsidP="00B6416C">
      <w:pPr>
        <w:jc w:val="both"/>
        <w:rPr>
          <w:i/>
          <w:iCs/>
          <w:color w:val="000000" w:themeColor="text1"/>
        </w:rPr>
      </w:pPr>
      <w:r w:rsidRPr="00BE615F">
        <w:rPr>
          <w:i/>
          <w:iCs/>
          <w:color w:val="000000" w:themeColor="text1"/>
        </w:rPr>
        <w:t>Art. 12.  .............................</w:t>
      </w:r>
    </w:p>
    <w:p w14:paraId="1C1AF6DB" w14:textId="77777777" w:rsidR="00B6416C" w:rsidRPr="00BE615F" w:rsidRDefault="00B6416C" w:rsidP="00B6416C">
      <w:pPr>
        <w:jc w:val="both"/>
        <w:rPr>
          <w:i/>
          <w:iCs/>
          <w:color w:val="000000" w:themeColor="text1"/>
        </w:rPr>
      </w:pPr>
    </w:p>
    <w:p w14:paraId="517CE0DC" w14:textId="77777777" w:rsidR="00B6416C" w:rsidRPr="00BE615F" w:rsidRDefault="00B6416C" w:rsidP="00B6416C">
      <w:pPr>
        <w:jc w:val="both"/>
        <w:rPr>
          <w:i/>
          <w:iCs/>
          <w:color w:val="000000" w:themeColor="text1"/>
        </w:rPr>
      </w:pPr>
      <w:r w:rsidRPr="00BE615F">
        <w:rPr>
          <w:i/>
          <w:iCs/>
          <w:color w:val="000000" w:themeColor="text1"/>
        </w:rPr>
        <w:t>I - Curriculum vitae indicando, entre outras informações, endereço eletrônico (</w:t>
      </w:r>
      <w:proofErr w:type="spellStart"/>
      <w:r w:rsidRPr="00BE615F">
        <w:rPr>
          <w:i/>
          <w:iCs/>
          <w:color w:val="000000" w:themeColor="text1"/>
        </w:rPr>
        <w:t>email</w:t>
      </w:r>
      <w:proofErr w:type="spellEnd"/>
      <w:r w:rsidRPr="00BE615F">
        <w:rPr>
          <w:i/>
          <w:iCs/>
          <w:color w:val="000000" w:themeColor="text1"/>
        </w:rPr>
        <w:t>), o histórico de atuação social, em uma das áreas de atuação da Defensoria Pública por, no mínimo, 01 (um) ano, a apresentação de um arrazoado dos propósitos, dos princípios de política institucional que defende para a Ouvidoria Geral, bem como para o estabelecimento de práticas democrático-participativas no âmbito da Defensoria Pública;</w:t>
      </w:r>
    </w:p>
    <w:p w14:paraId="3ECB45B1" w14:textId="77777777" w:rsidR="00B6416C" w:rsidRPr="00BE615F" w:rsidRDefault="00B6416C" w:rsidP="00B6416C">
      <w:pPr>
        <w:jc w:val="both"/>
        <w:rPr>
          <w:i/>
          <w:iCs/>
          <w:color w:val="000000" w:themeColor="text1"/>
        </w:rPr>
      </w:pPr>
    </w:p>
    <w:p w14:paraId="2BC29CE6" w14:textId="38903283" w:rsidR="00B6416C" w:rsidRPr="00BE615F" w:rsidRDefault="00B6416C" w:rsidP="00BE615F">
      <w:pPr>
        <w:jc w:val="both"/>
        <w:rPr>
          <w:i/>
          <w:iCs/>
          <w:color w:val="000000" w:themeColor="text1"/>
        </w:rPr>
      </w:pPr>
      <w:r w:rsidRPr="00BE615F">
        <w:rPr>
          <w:i/>
          <w:iCs/>
          <w:color w:val="000000" w:themeColor="text1"/>
        </w:rPr>
        <w:lastRenderedPageBreak/>
        <w:t>[...]</w:t>
      </w:r>
    </w:p>
    <w:p w14:paraId="0EEEAD99" w14:textId="77777777" w:rsidR="00BE615F" w:rsidRPr="00BE615F" w:rsidRDefault="00BE615F" w:rsidP="00BE615F">
      <w:pPr>
        <w:jc w:val="both"/>
        <w:rPr>
          <w:i/>
          <w:iCs/>
          <w:color w:val="000000" w:themeColor="text1"/>
        </w:rPr>
      </w:pPr>
    </w:p>
    <w:p w14:paraId="6409E258" w14:textId="446DDC9A" w:rsidR="00B6416C" w:rsidRPr="00BE615F" w:rsidRDefault="00B6416C" w:rsidP="00B6416C">
      <w:pPr>
        <w:jc w:val="both"/>
        <w:rPr>
          <w:i/>
          <w:iCs/>
          <w:color w:val="000000" w:themeColor="text1"/>
        </w:rPr>
      </w:pPr>
      <w:r w:rsidRPr="00BE615F">
        <w:rPr>
          <w:i/>
          <w:iCs/>
          <w:color w:val="000000" w:themeColor="text1"/>
        </w:rPr>
        <w:t>Art. 13. Para fins de habilitação, nos termos desta resolução, considera-se entidade civil a organização ou entidade de natureza privada, legitimamente constituída, representativa de interesses sociais relevantes, independentemente de sua vinculação a determinado segmento, classe social ou profissional.</w:t>
      </w:r>
    </w:p>
    <w:p w14:paraId="6A3D2C0C" w14:textId="77777777" w:rsidR="00B6416C" w:rsidRPr="00BE615F" w:rsidRDefault="00B6416C" w:rsidP="00B6416C">
      <w:pPr>
        <w:ind w:firstLine="1701"/>
        <w:jc w:val="both"/>
        <w:rPr>
          <w:i/>
          <w:iCs/>
          <w:color w:val="000000" w:themeColor="text1"/>
        </w:rPr>
      </w:pPr>
    </w:p>
    <w:p w14:paraId="47CFBFA5" w14:textId="20D2E671" w:rsidR="00B6416C" w:rsidRPr="00BE615F" w:rsidRDefault="00B6416C" w:rsidP="00B6416C">
      <w:pPr>
        <w:jc w:val="both"/>
        <w:rPr>
          <w:i/>
          <w:iCs/>
          <w:color w:val="000000" w:themeColor="text1"/>
        </w:rPr>
      </w:pPr>
      <w:r w:rsidRPr="00BE615F">
        <w:rPr>
          <w:i/>
          <w:iCs/>
          <w:color w:val="000000" w:themeColor="text1"/>
        </w:rPr>
        <w:t>§ 1</w:t>
      </w:r>
      <w:proofErr w:type="gramStart"/>
      <w:r w:rsidRPr="00BE615F">
        <w:rPr>
          <w:i/>
          <w:iCs/>
          <w:color w:val="000000" w:themeColor="text1"/>
        </w:rPr>
        <w:t>º  ..........................</w:t>
      </w:r>
      <w:proofErr w:type="gramEnd"/>
    </w:p>
    <w:p w14:paraId="07F7FD61" w14:textId="77777777" w:rsidR="00B6416C" w:rsidRPr="00BE615F" w:rsidRDefault="00B6416C" w:rsidP="00B6416C">
      <w:pPr>
        <w:ind w:firstLine="1701"/>
        <w:jc w:val="both"/>
        <w:rPr>
          <w:i/>
          <w:iCs/>
          <w:color w:val="000000" w:themeColor="text1"/>
        </w:rPr>
      </w:pPr>
    </w:p>
    <w:p w14:paraId="4FC01CF2" w14:textId="544FFAD4" w:rsidR="00B6416C" w:rsidRPr="00BE615F" w:rsidRDefault="00B6416C" w:rsidP="00B6416C">
      <w:pPr>
        <w:tabs>
          <w:tab w:val="left" w:pos="1985"/>
        </w:tabs>
        <w:jc w:val="both"/>
        <w:rPr>
          <w:i/>
          <w:iCs/>
          <w:color w:val="000000" w:themeColor="text1"/>
        </w:rPr>
      </w:pPr>
      <w:r w:rsidRPr="00BE615F">
        <w:rPr>
          <w:i/>
          <w:iCs/>
          <w:color w:val="000000" w:themeColor="text1"/>
        </w:rPr>
        <w:t>I - Estar legitimamente constituída, com comprovação de atuação há pelo menos três anos;</w:t>
      </w:r>
    </w:p>
    <w:p w14:paraId="18235E49" w14:textId="77777777" w:rsidR="00B6416C" w:rsidRPr="00BE615F" w:rsidRDefault="00B6416C" w:rsidP="00B6416C">
      <w:pPr>
        <w:tabs>
          <w:tab w:val="left" w:pos="1985"/>
        </w:tabs>
        <w:ind w:firstLine="1701"/>
        <w:jc w:val="both"/>
        <w:rPr>
          <w:i/>
          <w:iCs/>
          <w:color w:val="000000" w:themeColor="text1"/>
        </w:rPr>
      </w:pPr>
    </w:p>
    <w:p w14:paraId="3E3D4BEE" w14:textId="75C8845D" w:rsidR="00B6416C" w:rsidRPr="00BE615F" w:rsidRDefault="00B6416C" w:rsidP="00B6416C">
      <w:pPr>
        <w:tabs>
          <w:tab w:val="left" w:pos="1985"/>
        </w:tabs>
        <w:jc w:val="both"/>
        <w:rPr>
          <w:i/>
          <w:iCs/>
          <w:color w:val="000000" w:themeColor="text1"/>
        </w:rPr>
      </w:pPr>
      <w:r w:rsidRPr="00BE615F">
        <w:rPr>
          <w:i/>
          <w:iCs/>
          <w:color w:val="000000" w:themeColor="text1"/>
        </w:rPr>
        <w:t>[...]</w:t>
      </w:r>
    </w:p>
    <w:p w14:paraId="5096AF5E" w14:textId="77777777" w:rsidR="00B6416C" w:rsidRPr="00BE615F" w:rsidRDefault="00B6416C" w:rsidP="00B6416C">
      <w:pPr>
        <w:tabs>
          <w:tab w:val="left" w:pos="1985"/>
        </w:tabs>
        <w:ind w:firstLine="1701"/>
        <w:jc w:val="both"/>
        <w:rPr>
          <w:i/>
          <w:iCs/>
          <w:color w:val="000000" w:themeColor="text1"/>
        </w:rPr>
      </w:pPr>
    </w:p>
    <w:p w14:paraId="3FD2950C" w14:textId="63345AB4" w:rsidR="00B6416C" w:rsidRPr="00BE615F" w:rsidRDefault="00B6416C" w:rsidP="00B6416C">
      <w:pPr>
        <w:tabs>
          <w:tab w:val="left" w:pos="1985"/>
        </w:tabs>
        <w:jc w:val="both"/>
        <w:rPr>
          <w:i/>
          <w:iCs/>
          <w:color w:val="000000" w:themeColor="text1"/>
        </w:rPr>
      </w:pPr>
      <w:r w:rsidRPr="00BE615F">
        <w:rPr>
          <w:i/>
          <w:iCs/>
          <w:color w:val="000000" w:themeColor="text1"/>
        </w:rPr>
        <w:t>IV - Apresentar estatuto da entidade civil, ata de eleição da diretoria, registrados ou não em cartório civil e, caso haja, CNPJ;</w:t>
      </w:r>
    </w:p>
    <w:p w14:paraId="0CACB66B" w14:textId="77777777" w:rsidR="00B6416C" w:rsidRPr="00BE615F" w:rsidRDefault="00B6416C" w:rsidP="00B6416C">
      <w:pPr>
        <w:tabs>
          <w:tab w:val="left" w:pos="1985"/>
        </w:tabs>
        <w:jc w:val="both"/>
        <w:rPr>
          <w:i/>
          <w:iCs/>
          <w:color w:val="000000" w:themeColor="text1"/>
        </w:rPr>
      </w:pPr>
    </w:p>
    <w:p w14:paraId="58DEDE2B" w14:textId="53B1A156" w:rsidR="00B6416C" w:rsidRPr="00BE615F" w:rsidRDefault="00B6416C" w:rsidP="00B6416C">
      <w:pPr>
        <w:tabs>
          <w:tab w:val="left" w:pos="1985"/>
        </w:tabs>
        <w:jc w:val="both"/>
        <w:rPr>
          <w:i/>
          <w:iCs/>
          <w:color w:val="000000" w:themeColor="text1"/>
        </w:rPr>
      </w:pPr>
      <w:r w:rsidRPr="00BE615F">
        <w:rPr>
          <w:i/>
          <w:iCs/>
          <w:color w:val="000000" w:themeColor="text1"/>
        </w:rPr>
        <w:t>[...]</w:t>
      </w:r>
    </w:p>
    <w:p w14:paraId="78FDF368" w14:textId="77777777" w:rsidR="00B6416C" w:rsidRPr="00BE615F" w:rsidRDefault="00B6416C" w:rsidP="00B6416C">
      <w:pPr>
        <w:pBdr>
          <w:top w:val="nil"/>
          <w:left w:val="nil"/>
          <w:bottom w:val="nil"/>
          <w:right w:val="nil"/>
          <w:between w:val="nil"/>
        </w:pBdr>
        <w:ind w:left="720" w:firstLine="1701"/>
        <w:rPr>
          <w:i/>
          <w:iCs/>
          <w:color w:val="000000" w:themeColor="text1"/>
        </w:rPr>
      </w:pPr>
    </w:p>
    <w:p w14:paraId="416FCA2D" w14:textId="77777777" w:rsidR="00B6416C" w:rsidRPr="00BE615F" w:rsidRDefault="00B6416C" w:rsidP="00B6416C">
      <w:pPr>
        <w:jc w:val="both"/>
        <w:rPr>
          <w:i/>
          <w:iCs/>
          <w:color w:val="000000" w:themeColor="text1"/>
        </w:rPr>
      </w:pPr>
      <w:r w:rsidRPr="00BE615F">
        <w:rPr>
          <w:i/>
          <w:iCs/>
          <w:color w:val="000000" w:themeColor="text1"/>
        </w:rPr>
        <w:t>§ 2º.</w:t>
      </w:r>
      <w:r w:rsidRPr="00BE615F">
        <w:rPr>
          <w:b/>
          <w:i/>
          <w:iCs/>
          <w:color w:val="000000" w:themeColor="text1"/>
        </w:rPr>
        <w:t xml:space="preserve"> </w:t>
      </w:r>
      <w:r w:rsidRPr="00BE615F">
        <w:rPr>
          <w:i/>
          <w:iCs/>
          <w:color w:val="000000" w:themeColor="text1"/>
        </w:rPr>
        <w:t xml:space="preserve">A entidade civil que preencher os requisitos acima e pretender habilitar-se para participar da formação da lista tríplice para escolha do(a) Ouvidor(a) Geral da Defensoria Pública do Estado do Pará, deverá apresentar requerimento ao Presidente da Comissão Eleitoral, no prazo fixado pelo Edital de Abertura, através do </w:t>
      </w:r>
      <w:proofErr w:type="spellStart"/>
      <w:r w:rsidRPr="00BE615F">
        <w:rPr>
          <w:i/>
          <w:iCs/>
          <w:color w:val="000000" w:themeColor="text1"/>
        </w:rPr>
        <w:t>email</w:t>
      </w:r>
      <w:proofErr w:type="spellEnd"/>
      <w:r w:rsidRPr="00BE615F">
        <w:rPr>
          <w:i/>
          <w:iCs/>
          <w:color w:val="000000" w:themeColor="text1"/>
        </w:rPr>
        <w:t xml:space="preserve"> por esta indicado, juntamente com a documentação </w:t>
      </w:r>
      <w:proofErr w:type="spellStart"/>
      <w:r w:rsidRPr="00BE615F">
        <w:rPr>
          <w:i/>
          <w:iCs/>
          <w:color w:val="000000" w:themeColor="text1"/>
        </w:rPr>
        <w:t>retrocitada</w:t>
      </w:r>
      <w:proofErr w:type="spellEnd"/>
      <w:r w:rsidRPr="00BE615F">
        <w:rPr>
          <w:i/>
          <w:iCs/>
          <w:color w:val="000000" w:themeColor="text1"/>
        </w:rPr>
        <w:t>, além de endereço eletrônico (</w:t>
      </w:r>
      <w:proofErr w:type="spellStart"/>
      <w:r w:rsidRPr="00BE615F">
        <w:rPr>
          <w:i/>
          <w:iCs/>
          <w:color w:val="000000" w:themeColor="text1"/>
        </w:rPr>
        <w:t>email</w:t>
      </w:r>
      <w:proofErr w:type="spellEnd"/>
      <w:r w:rsidRPr="00BE615F">
        <w:rPr>
          <w:i/>
          <w:iCs/>
          <w:color w:val="000000" w:themeColor="text1"/>
        </w:rPr>
        <w:t>) válido para recebimento de intimações ou comunicados, bem como de outras que poderão ser exigidas.</w:t>
      </w:r>
    </w:p>
    <w:p w14:paraId="78AC01AD" w14:textId="77777777" w:rsidR="00B6416C" w:rsidRPr="00BE615F" w:rsidRDefault="00B6416C" w:rsidP="00B6416C">
      <w:pPr>
        <w:ind w:firstLine="1701"/>
        <w:jc w:val="both"/>
        <w:rPr>
          <w:i/>
          <w:iCs/>
          <w:color w:val="000000" w:themeColor="text1"/>
        </w:rPr>
      </w:pPr>
    </w:p>
    <w:p w14:paraId="79DD5CC8" w14:textId="2BE22620" w:rsidR="00B6416C" w:rsidRPr="00BE615F" w:rsidRDefault="00B6416C" w:rsidP="00B6416C">
      <w:pPr>
        <w:shd w:val="clear" w:color="auto" w:fill="FFFFFF"/>
        <w:suppressAutoHyphens w:val="0"/>
        <w:jc w:val="both"/>
        <w:rPr>
          <w:bCs/>
          <w:i/>
          <w:iCs/>
          <w:color w:val="000000" w:themeColor="text1"/>
          <w:lang w:eastAsia="pt-BR"/>
        </w:rPr>
      </w:pPr>
      <w:r w:rsidRPr="00BE615F">
        <w:rPr>
          <w:i/>
          <w:iCs/>
          <w:color w:val="000000" w:themeColor="text1"/>
        </w:rPr>
        <w:t>[...]</w:t>
      </w:r>
    </w:p>
    <w:p w14:paraId="650E7515" w14:textId="77777777" w:rsidR="00B6416C" w:rsidRPr="00BE615F" w:rsidRDefault="00B6416C" w:rsidP="00B6416C">
      <w:pPr>
        <w:shd w:val="clear" w:color="auto" w:fill="FFFFFF"/>
        <w:suppressAutoHyphens w:val="0"/>
        <w:jc w:val="both"/>
        <w:rPr>
          <w:i/>
          <w:iCs/>
          <w:color w:val="000000" w:themeColor="text1"/>
        </w:rPr>
      </w:pPr>
    </w:p>
    <w:p w14:paraId="7DDEF10B" w14:textId="6CD233CC" w:rsidR="00B6416C" w:rsidRPr="00BE615F" w:rsidRDefault="00B6416C" w:rsidP="00B6416C">
      <w:pPr>
        <w:shd w:val="clear" w:color="auto" w:fill="FFFFFF"/>
        <w:suppressAutoHyphens w:val="0"/>
        <w:jc w:val="both"/>
        <w:rPr>
          <w:i/>
          <w:iCs/>
          <w:color w:val="000000" w:themeColor="text1"/>
        </w:rPr>
      </w:pPr>
      <w:r w:rsidRPr="00BE615F">
        <w:rPr>
          <w:i/>
          <w:iCs/>
          <w:color w:val="000000" w:themeColor="text1"/>
        </w:rPr>
        <w:t>Art. 17. .........................</w:t>
      </w:r>
    </w:p>
    <w:p w14:paraId="691CFB14" w14:textId="77777777" w:rsidR="00B6416C" w:rsidRPr="00BE615F" w:rsidRDefault="00B6416C" w:rsidP="00B6416C">
      <w:pPr>
        <w:shd w:val="clear" w:color="auto" w:fill="FFFFFF"/>
        <w:suppressAutoHyphens w:val="0"/>
        <w:jc w:val="both"/>
        <w:rPr>
          <w:i/>
          <w:iCs/>
          <w:color w:val="000000" w:themeColor="text1"/>
        </w:rPr>
      </w:pPr>
    </w:p>
    <w:p w14:paraId="0BECECC2" w14:textId="68E2E7F7" w:rsidR="003F0A81" w:rsidRDefault="00B6416C" w:rsidP="00BE615F">
      <w:pPr>
        <w:tabs>
          <w:tab w:val="left" w:pos="1276"/>
          <w:tab w:val="left" w:pos="1418"/>
        </w:tabs>
        <w:jc w:val="both"/>
        <w:rPr>
          <w:i/>
          <w:iCs/>
          <w:color w:val="000000" w:themeColor="text1"/>
        </w:rPr>
      </w:pPr>
      <w:r w:rsidRPr="00BE615F">
        <w:rPr>
          <w:i/>
          <w:iCs/>
          <w:color w:val="000000" w:themeColor="text1"/>
        </w:rPr>
        <w:t xml:space="preserve">Parágrafo único. A sessão será realizada por meio remoto, assegurando-se às entidades civis ou cidadãos que devam participar da sessão, mas que não tenham acesso à internet, que poderão requerer, com antecedência mínima de 03 dias úteis, através do e-mail </w:t>
      </w:r>
      <w:hyperlink r:id="rId7" w:history="1">
        <w:r w:rsidR="00BE615F" w:rsidRPr="00BE615F">
          <w:rPr>
            <w:rStyle w:val="Hyperlink"/>
            <w:rFonts w:cs="Arial"/>
            <w:i/>
            <w:iCs/>
            <w:color w:val="000000" w:themeColor="text1"/>
          </w:rPr>
          <w:t>eleicoesouvidoria.dppa@gmail.com</w:t>
        </w:r>
      </w:hyperlink>
      <w:r w:rsidR="00BE615F" w:rsidRPr="00BE615F">
        <w:rPr>
          <w:rFonts w:cs="Arial"/>
          <w:i/>
          <w:iCs/>
          <w:color w:val="000000" w:themeColor="text1"/>
        </w:rPr>
        <w:t xml:space="preserve"> </w:t>
      </w:r>
      <w:r w:rsidRPr="00BE615F">
        <w:rPr>
          <w:i/>
          <w:iCs/>
          <w:color w:val="000000" w:themeColor="text1"/>
        </w:rPr>
        <w:t>, a sua participação através de unidade da Defensoria Pública mais próxima de sua residência</w:t>
      </w:r>
      <w:r w:rsidR="003F0A81">
        <w:rPr>
          <w:i/>
          <w:iCs/>
          <w:color w:val="000000" w:themeColor="text1"/>
        </w:rPr>
        <w:t>.</w:t>
      </w:r>
    </w:p>
    <w:p w14:paraId="0A1F0552" w14:textId="77777777" w:rsidR="003F0A81" w:rsidRDefault="003F0A81" w:rsidP="00BE615F">
      <w:pPr>
        <w:tabs>
          <w:tab w:val="left" w:pos="1276"/>
          <w:tab w:val="left" w:pos="1418"/>
        </w:tabs>
        <w:jc w:val="both"/>
        <w:rPr>
          <w:i/>
          <w:iCs/>
          <w:color w:val="000000" w:themeColor="text1"/>
        </w:rPr>
      </w:pPr>
    </w:p>
    <w:p w14:paraId="26DE1872" w14:textId="460FD81F" w:rsidR="00D733D3" w:rsidRPr="00BE615F" w:rsidRDefault="003F0A81" w:rsidP="00BE615F">
      <w:pPr>
        <w:tabs>
          <w:tab w:val="left" w:pos="1276"/>
          <w:tab w:val="left" w:pos="1418"/>
        </w:tabs>
        <w:jc w:val="both"/>
        <w:rPr>
          <w:bCs/>
          <w:i/>
          <w:color w:val="000000" w:themeColor="text1"/>
          <w:lang w:eastAsia="pt-BR"/>
        </w:rPr>
      </w:pPr>
      <w:r>
        <w:rPr>
          <w:i/>
          <w:iCs/>
          <w:color w:val="000000" w:themeColor="text1"/>
        </w:rPr>
        <w:t>[...]</w:t>
      </w:r>
      <w:r w:rsidR="00B6416C" w:rsidRPr="00BE615F">
        <w:rPr>
          <w:color w:val="000000" w:themeColor="text1"/>
        </w:rPr>
        <w:t>”.</w:t>
      </w:r>
    </w:p>
    <w:p w14:paraId="1AEE95FE" w14:textId="77777777" w:rsidR="00B6416C" w:rsidRPr="00BE615F" w:rsidRDefault="00B6416C" w:rsidP="00D733D3">
      <w:pPr>
        <w:shd w:val="clear" w:color="auto" w:fill="FFFFFF"/>
        <w:suppressAutoHyphens w:val="0"/>
        <w:jc w:val="both"/>
        <w:rPr>
          <w:bCs/>
          <w:i/>
          <w:color w:val="000000" w:themeColor="text1"/>
          <w:lang w:eastAsia="pt-BR"/>
        </w:rPr>
      </w:pPr>
    </w:p>
    <w:p w14:paraId="54E9D5AD" w14:textId="3FFC657B" w:rsidR="00BE615F" w:rsidRDefault="00121221" w:rsidP="00BE615F">
      <w:pPr>
        <w:spacing w:after="240"/>
        <w:jc w:val="both"/>
        <w:rPr>
          <w:bCs/>
          <w:iCs/>
          <w:color w:val="000000" w:themeColor="text1"/>
          <w:lang w:eastAsia="pt-BR"/>
        </w:rPr>
      </w:pPr>
      <w:r w:rsidRPr="00BE615F">
        <w:rPr>
          <w:b/>
          <w:iCs/>
          <w:color w:val="000000" w:themeColor="text1"/>
          <w:lang w:eastAsia="pt-BR"/>
        </w:rPr>
        <w:t>Art. 2º</w:t>
      </w:r>
      <w:r w:rsidR="00BE615F">
        <w:rPr>
          <w:bCs/>
          <w:iCs/>
          <w:color w:val="000000" w:themeColor="text1"/>
          <w:lang w:eastAsia="pt-BR"/>
        </w:rPr>
        <w:t xml:space="preserve"> Alterar </w:t>
      </w:r>
      <w:r w:rsidR="003F0A81">
        <w:rPr>
          <w:bCs/>
          <w:iCs/>
          <w:color w:val="000000" w:themeColor="text1"/>
          <w:lang w:eastAsia="pt-BR"/>
        </w:rPr>
        <w:t xml:space="preserve">o </w:t>
      </w:r>
      <w:r w:rsidR="003F0A81" w:rsidRPr="003F0A81">
        <w:rPr>
          <w:bCs/>
          <w:iCs/>
          <w:color w:val="000000" w:themeColor="text1"/>
          <w:lang w:eastAsia="pt-BR"/>
        </w:rPr>
        <w:t xml:space="preserve">Cronograma </w:t>
      </w:r>
      <w:r w:rsidR="003F0A81">
        <w:rPr>
          <w:bCs/>
          <w:iCs/>
          <w:color w:val="000000" w:themeColor="text1"/>
          <w:lang w:eastAsia="pt-BR"/>
        </w:rPr>
        <w:t>d</w:t>
      </w:r>
      <w:r w:rsidR="003F0A81" w:rsidRPr="003F0A81">
        <w:rPr>
          <w:bCs/>
          <w:iCs/>
          <w:color w:val="000000" w:themeColor="text1"/>
          <w:lang w:eastAsia="pt-BR"/>
        </w:rPr>
        <w:t xml:space="preserve">o Processo </w:t>
      </w:r>
      <w:r w:rsidR="003F0A81">
        <w:rPr>
          <w:bCs/>
          <w:iCs/>
          <w:color w:val="000000" w:themeColor="text1"/>
          <w:lang w:eastAsia="pt-BR"/>
        </w:rPr>
        <w:t>d</w:t>
      </w:r>
      <w:r w:rsidR="003F0A81" w:rsidRPr="003F0A81">
        <w:rPr>
          <w:bCs/>
          <w:iCs/>
          <w:color w:val="000000" w:themeColor="text1"/>
          <w:lang w:eastAsia="pt-BR"/>
        </w:rPr>
        <w:t xml:space="preserve">e Escolha </w:t>
      </w:r>
      <w:r w:rsidR="003F0A81">
        <w:rPr>
          <w:bCs/>
          <w:iCs/>
          <w:color w:val="000000" w:themeColor="text1"/>
          <w:lang w:eastAsia="pt-BR"/>
        </w:rPr>
        <w:t>d</w:t>
      </w:r>
      <w:r w:rsidR="003F0A81" w:rsidRPr="003F0A81">
        <w:rPr>
          <w:bCs/>
          <w:iCs/>
          <w:color w:val="000000" w:themeColor="text1"/>
          <w:lang w:eastAsia="pt-BR"/>
        </w:rPr>
        <w:t xml:space="preserve">o Ouvidor-Geral </w:t>
      </w:r>
      <w:r w:rsidR="003F0A81">
        <w:rPr>
          <w:bCs/>
          <w:iCs/>
          <w:color w:val="000000" w:themeColor="text1"/>
          <w:lang w:eastAsia="pt-BR"/>
        </w:rPr>
        <w:t>d</w:t>
      </w:r>
      <w:r w:rsidR="003F0A81" w:rsidRPr="003F0A81">
        <w:rPr>
          <w:bCs/>
          <w:iCs/>
          <w:color w:val="000000" w:themeColor="text1"/>
          <w:lang w:eastAsia="pt-BR"/>
        </w:rPr>
        <w:t>a DP-PA</w:t>
      </w:r>
      <w:r w:rsidR="003F0A81">
        <w:rPr>
          <w:bCs/>
          <w:iCs/>
          <w:color w:val="000000" w:themeColor="text1"/>
          <w:lang w:eastAsia="pt-BR"/>
        </w:rPr>
        <w:t>, p</w:t>
      </w:r>
      <w:r w:rsidR="003F0A81" w:rsidRPr="003F0A81">
        <w:rPr>
          <w:bCs/>
          <w:iCs/>
          <w:color w:val="000000" w:themeColor="text1"/>
          <w:lang w:eastAsia="pt-BR"/>
        </w:rPr>
        <w:t xml:space="preserve">ara </w:t>
      </w:r>
      <w:r w:rsidR="003F0A81">
        <w:rPr>
          <w:bCs/>
          <w:iCs/>
          <w:color w:val="000000" w:themeColor="text1"/>
          <w:lang w:eastAsia="pt-BR"/>
        </w:rPr>
        <w:t>o</w:t>
      </w:r>
      <w:r w:rsidR="003F0A81" w:rsidRPr="003F0A81">
        <w:rPr>
          <w:bCs/>
          <w:iCs/>
          <w:color w:val="000000" w:themeColor="text1"/>
          <w:lang w:eastAsia="pt-BR"/>
        </w:rPr>
        <w:t xml:space="preserve"> </w:t>
      </w:r>
      <w:r w:rsidR="003F0A81">
        <w:rPr>
          <w:bCs/>
          <w:iCs/>
          <w:color w:val="000000" w:themeColor="text1"/>
          <w:lang w:eastAsia="pt-BR"/>
        </w:rPr>
        <w:t>b</w:t>
      </w:r>
      <w:r w:rsidR="003F0A81" w:rsidRPr="003F0A81">
        <w:rPr>
          <w:bCs/>
          <w:iCs/>
          <w:color w:val="000000" w:themeColor="text1"/>
          <w:lang w:eastAsia="pt-BR"/>
        </w:rPr>
        <w:t>iênio 2020/2022</w:t>
      </w:r>
      <w:r w:rsidR="003F0A81">
        <w:rPr>
          <w:bCs/>
          <w:iCs/>
          <w:color w:val="000000" w:themeColor="text1"/>
          <w:lang w:eastAsia="pt-BR"/>
        </w:rPr>
        <w:t xml:space="preserve">, constante como anexo da </w:t>
      </w:r>
      <w:r w:rsidR="00BE615F">
        <w:rPr>
          <w:bCs/>
          <w:iCs/>
          <w:color w:val="000000" w:themeColor="text1"/>
          <w:lang w:eastAsia="pt-BR"/>
        </w:rPr>
        <w:t xml:space="preserve">Resolução CSDP Nº 239, </w:t>
      </w:r>
      <w:r w:rsidR="003F0A81">
        <w:rPr>
          <w:bCs/>
          <w:iCs/>
          <w:color w:val="000000" w:themeColor="text1"/>
          <w:lang w:eastAsia="pt-BR"/>
        </w:rPr>
        <w:t>para que passar a vigorar na forma da tabela abaixo</w:t>
      </w:r>
      <w:r w:rsidR="00BE615F">
        <w:rPr>
          <w:bCs/>
          <w:iCs/>
          <w:color w:val="000000" w:themeColor="text1"/>
          <w:lang w:eastAsia="pt-B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4249"/>
      </w:tblGrid>
      <w:tr w:rsidR="003F0A81" w14:paraId="0381BF28" w14:textId="77777777" w:rsidTr="003F0A81">
        <w:trPr>
          <w:trHeight w:val="112"/>
        </w:trPr>
        <w:tc>
          <w:tcPr>
            <w:tcW w:w="4146" w:type="dxa"/>
          </w:tcPr>
          <w:p w14:paraId="525D48F1"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Publicação do edital</w:t>
            </w:r>
          </w:p>
        </w:tc>
        <w:tc>
          <w:tcPr>
            <w:tcW w:w="4249" w:type="dxa"/>
          </w:tcPr>
          <w:p w14:paraId="5FC429BA"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08 de junho de 2020</w:t>
            </w:r>
          </w:p>
        </w:tc>
      </w:tr>
      <w:tr w:rsidR="003F0A81" w:rsidRPr="00D7526B" w14:paraId="49474442" w14:textId="77777777" w:rsidTr="003F0A81">
        <w:trPr>
          <w:trHeight w:val="112"/>
        </w:trPr>
        <w:tc>
          <w:tcPr>
            <w:tcW w:w="4146" w:type="dxa"/>
          </w:tcPr>
          <w:p w14:paraId="238F1B4E"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Audiência pública</w:t>
            </w:r>
          </w:p>
        </w:tc>
        <w:tc>
          <w:tcPr>
            <w:tcW w:w="4249" w:type="dxa"/>
          </w:tcPr>
          <w:p w14:paraId="44173489"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15 de junho de 2020, 10h</w:t>
            </w:r>
          </w:p>
        </w:tc>
      </w:tr>
      <w:tr w:rsidR="003F0A81" w:rsidRPr="00D7526B" w14:paraId="6729D3FF" w14:textId="77777777" w:rsidTr="003F0A81">
        <w:trPr>
          <w:trHeight w:val="598"/>
        </w:trPr>
        <w:tc>
          <w:tcPr>
            <w:tcW w:w="4146" w:type="dxa"/>
          </w:tcPr>
          <w:p w14:paraId="4E1285AC"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Inscrição de cidadãos(</w:t>
            </w:r>
            <w:proofErr w:type="spellStart"/>
            <w:r w:rsidRPr="003F0A81">
              <w:rPr>
                <w:rFonts w:ascii="Times New Roman" w:hAnsi="Times New Roman" w:cs="Times New Roman"/>
              </w:rPr>
              <w:t>ãs</w:t>
            </w:r>
            <w:proofErr w:type="spellEnd"/>
            <w:r w:rsidRPr="003F0A81">
              <w:rPr>
                <w:rFonts w:ascii="Times New Roman" w:hAnsi="Times New Roman" w:cs="Times New Roman"/>
              </w:rPr>
              <w:t xml:space="preserve">) e entidades civis </w:t>
            </w:r>
          </w:p>
        </w:tc>
        <w:tc>
          <w:tcPr>
            <w:tcW w:w="4249" w:type="dxa"/>
          </w:tcPr>
          <w:p w14:paraId="379EEE54"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Das 08 horas do dia 08 de junho de 2020 até as 23:59 horas do dia 19 de junho de 2020 </w:t>
            </w:r>
          </w:p>
        </w:tc>
      </w:tr>
      <w:tr w:rsidR="003F0A81" w:rsidRPr="00D7526B" w14:paraId="0EEE11B4" w14:textId="77777777" w:rsidTr="003F0A81">
        <w:trPr>
          <w:trHeight w:val="599"/>
        </w:trPr>
        <w:tc>
          <w:tcPr>
            <w:tcW w:w="4146" w:type="dxa"/>
          </w:tcPr>
          <w:p w14:paraId="4AB6C26A"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lastRenderedPageBreak/>
              <w:t>Divulgação da lista preliminar de cidadãos(</w:t>
            </w:r>
            <w:proofErr w:type="spellStart"/>
            <w:r w:rsidRPr="003F0A81">
              <w:rPr>
                <w:rFonts w:ascii="Times New Roman" w:hAnsi="Times New Roman" w:cs="Times New Roman"/>
              </w:rPr>
              <w:t>ãs</w:t>
            </w:r>
            <w:proofErr w:type="spellEnd"/>
            <w:r w:rsidRPr="003F0A81">
              <w:rPr>
                <w:rFonts w:ascii="Times New Roman" w:hAnsi="Times New Roman" w:cs="Times New Roman"/>
              </w:rPr>
              <w:t xml:space="preserve">) e entidades civis habilitadas </w:t>
            </w:r>
          </w:p>
        </w:tc>
        <w:tc>
          <w:tcPr>
            <w:tcW w:w="4249" w:type="dxa"/>
          </w:tcPr>
          <w:p w14:paraId="604D421C"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23 de junho de 2020 </w:t>
            </w:r>
          </w:p>
        </w:tc>
      </w:tr>
      <w:tr w:rsidR="003F0A81" w:rsidRPr="00D7526B" w14:paraId="307F914B" w14:textId="77777777" w:rsidTr="003F0A81">
        <w:trPr>
          <w:trHeight w:val="598"/>
        </w:trPr>
        <w:tc>
          <w:tcPr>
            <w:tcW w:w="4146" w:type="dxa"/>
          </w:tcPr>
          <w:p w14:paraId="5E29DE96"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Impugnações à lista preliminar de cidadãos(</w:t>
            </w:r>
            <w:proofErr w:type="spellStart"/>
            <w:r w:rsidRPr="003F0A81">
              <w:rPr>
                <w:rFonts w:ascii="Times New Roman" w:hAnsi="Times New Roman" w:cs="Times New Roman"/>
              </w:rPr>
              <w:t>ãs</w:t>
            </w:r>
            <w:proofErr w:type="spellEnd"/>
            <w:r w:rsidRPr="003F0A81">
              <w:rPr>
                <w:rFonts w:ascii="Times New Roman" w:hAnsi="Times New Roman" w:cs="Times New Roman"/>
              </w:rPr>
              <w:t xml:space="preserve">) e entidades civis habilitadas </w:t>
            </w:r>
          </w:p>
        </w:tc>
        <w:tc>
          <w:tcPr>
            <w:tcW w:w="4249" w:type="dxa"/>
          </w:tcPr>
          <w:p w14:paraId="074D032D"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24, 25 e 26 de junho de 2020 </w:t>
            </w:r>
          </w:p>
        </w:tc>
      </w:tr>
      <w:tr w:rsidR="003F0A81" w:rsidRPr="00D7526B" w14:paraId="0A2826A3" w14:textId="77777777" w:rsidTr="003F0A81">
        <w:trPr>
          <w:trHeight w:val="392"/>
        </w:trPr>
        <w:tc>
          <w:tcPr>
            <w:tcW w:w="4146" w:type="dxa"/>
          </w:tcPr>
          <w:p w14:paraId="28F5A9B6"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Defesa às impugnações </w:t>
            </w:r>
          </w:p>
        </w:tc>
        <w:tc>
          <w:tcPr>
            <w:tcW w:w="4249" w:type="dxa"/>
          </w:tcPr>
          <w:p w14:paraId="737C7F2F"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29 e 30 de junho e 01 de julho de 2020 </w:t>
            </w:r>
          </w:p>
        </w:tc>
      </w:tr>
      <w:tr w:rsidR="003F0A81" w:rsidRPr="00D7526B" w14:paraId="03811033" w14:textId="77777777" w:rsidTr="003F0A81">
        <w:trPr>
          <w:trHeight w:val="598"/>
        </w:trPr>
        <w:tc>
          <w:tcPr>
            <w:tcW w:w="4146" w:type="dxa"/>
          </w:tcPr>
          <w:p w14:paraId="415EF8BB"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Publicação do resultado das impugnações e lista definitiva dos cidadãos(</w:t>
            </w:r>
            <w:proofErr w:type="spellStart"/>
            <w:r w:rsidRPr="003F0A81">
              <w:rPr>
                <w:rFonts w:ascii="Times New Roman" w:hAnsi="Times New Roman" w:cs="Times New Roman"/>
              </w:rPr>
              <w:t>ãs</w:t>
            </w:r>
            <w:proofErr w:type="spellEnd"/>
            <w:r w:rsidRPr="003F0A81">
              <w:rPr>
                <w:rFonts w:ascii="Times New Roman" w:hAnsi="Times New Roman" w:cs="Times New Roman"/>
              </w:rPr>
              <w:t xml:space="preserve">) e entidades habilitadas. </w:t>
            </w:r>
          </w:p>
        </w:tc>
        <w:tc>
          <w:tcPr>
            <w:tcW w:w="4249" w:type="dxa"/>
          </w:tcPr>
          <w:p w14:paraId="7378FCA4"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07 de julho de 2020 </w:t>
            </w:r>
          </w:p>
        </w:tc>
      </w:tr>
      <w:tr w:rsidR="003F0A81" w:rsidRPr="00D7526B" w14:paraId="1AA45A39" w14:textId="77777777" w:rsidTr="003F0A81">
        <w:trPr>
          <w:trHeight w:val="599"/>
        </w:trPr>
        <w:tc>
          <w:tcPr>
            <w:tcW w:w="4146" w:type="dxa"/>
          </w:tcPr>
          <w:p w14:paraId="0957284E"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Prazo para interposição de recursos em face da lista definitiva, dirigidos ao Conselho Superior </w:t>
            </w:r>
          </w:p>
        </w:tc>
        <w:tc>
          <w:tcPr>
            <w:tcW w:w="4249" w:type="dxa"/>
          </w:tcPr>
          <w:p w14:paraId="6FB1FF84"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08, 09 e 10 de julho de 2020 </w:t>
            </w:r>
          </w:p>
        </w:tc>
      </w:tr>
      <w:tr w:rsidR="003F0A81" w:rsidRPr="00D7526B" w14:paraId="69FB1129" w14:textId="77777777" w:rsidTr="003F0A81">
        <w:trPr>
          <w:trHeight w:val="1012"/>
        </w:trPr>
        <w:tc>
          <w:tcPr>
            <w:tcW w:w="4146" w:type="dxa"/>
          </w:tcPr>
          <w:p w14:paraId="2E260C82"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Sessão para escolha da lista tríplice pela sociedade civil </w:t>
            </w:r>
          </w:p>
        </w:tc>
        <w:tc>
          <w:tcPr>
            <w:tcW w:w="4249" w:type="dxa"/>
          </w:tcPr>
          <w:p w14:paraId="04BA9BDD"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 xml:space="preserve">13 de julho de 2020 </w:t>
            </w:r>
          </w:p>
          <w:p w14:paraId="05FA2F73" w14:textId="77777777" w:rsidR="003F0A81" w:rsidRPr="003F0A81" w:rsidRDefault="003F0A81" w:rsidP="003F3917">
            <w:pPr>
              <w:pStyle w:val="Default"/>
              <w:rPr>
                <w:rFonts w:ascii="Times New Roman" w:hAnsi="Times New Roman" w:cs="Times New Roman"/>
              </w:rPr>
            </w:pPr>
          </w:p>
        </w:tc>
      </w:tr>
      <w:tr w:rsidR="003F0A81" w14:paraId="79BC6738" w14:textId="77777777" w:rsidTr="003F0A81">
        <w:trPr>
          <w:trHeight w:val="1012"/>
        </w:trPr>
        <w:tc>
          <w:tcPr>
            <w:tcW w:w="4146" w:type="dxa"/>
          </w:tcPr>
          <w:p w14:paraId="5FCE4F8C"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Sessão do Conselho Superior para arguição e escolha do(a) Ouvidor(a)-Geral da Defensoria Pública do Pará</w:t>
            </w:r>
          </w:p>
        </w:tc>
        <w:tc>
          <w:tcPr>
            <w:tcW w:w="4249" w:type="dxa"/>
          </w:tcPr>
          <w:p w14:paraId="08CE9F28" w14:textId="77777777" w:rsidR="003F0A81" w:rsidRPr="003F0A81" w:rsidRDefault="003F0A81" w:rsidP="003F3917">
            <w:pPr>
              <w:pStyle w:val="Default"/>
              <w:rPr>
                <w:rFonts w:ascii="Times New Roman" w:hAnsi="Times New Roman" w:cs="Times New Roman"/>
              </w:rPr>
            </w:pPr>
            <w:r w:rsidRPr="003F0A81">
              <w:rPr>
                <w:rFonts w:ascii="Times New Roman" w:hAnsi="Times New Roman" w:cs="Times New Roman"/>
              </w:rPr>
              <w:t>16 de julho de 2020</w:t>
            </w:r>
          </w:p>
        </w:tc>
      </w:tr>
    </w:tbl>
    <w:p w14:paraId="6BE5E891" w14:textId="6E17E97A" w:rsidR="00BE615F" w:rsidRDefault="00BE615F" w:rsidP="003F0A81">
      <w:pPr>
        <w:jc w:val="both"/>
        <w:rPr>
          <w:bCs/>
          <w:iCs/>
          <w:color w:val="000000" w:themeColor="text1"/>
          <w:lang w:eastAsia="pt-BR"/>
        </w:rPr>
      </w:pPr>
    </w:p>
    <w:p w14:paraId="26FDBF76" w14:textId="1B4D3460" w:rsidR="009075BE" w:rsidRPr="00BE615F" w:rsidRDefault="00490E0B" w:rsidP="003F0A81">
      <w:pPr>
        <w:shd w:val="clear" w:color="auto" w:fill="FFFFFF"/>
        <w:suppressAutoHyphens w:val="0"/>
        <w:jc w:val="both"/>
        <w:rPr>
          <w:color w:val="000000" w:themeColor="text1"/>
        </w:rPr>
      </w:pPr>
      <w:r w:rsidRPr="00BE615F">
        <w:rPr>
          <w:b/>
          <w:bCs/>
          <w:color w:val="000000" w:themeColor="text1"/>
        </w:rPr>
        <w:t xml:space="preserve">Art. </w:t>
      </w:r>
      <w:r w:rsidR="003F0A81">
        <w:rPr>
          <w:b/>
          <w:bCs/>
          <w:color w:val="000000" w:themeColor="text1"/>
        </w:rPr>
        <w:t>3</w:t>
      </w:r>
      <w:r w:rsidR="006F5FB1" w:rsidRPr="00BE615F">
        <w:rPr>
          <w:b/>
          <w:bCs/>
          <w:color w:val="000000" w:themeColor="text1"/>
        </w:rPr>
        <w:t xml:space="preserve">º </w:t>
      </w:r>
      <w:r w:rsidR="006F5FB1" w:rsidRPr="00BE615F">
        <w:rPr>
          <w:color w:val="000000" w:themeColor="text1"/>
        </w:rPr>
        <w:t>Esta Resolução entra em vigor na data de sua publicação.</w:t>
      </w:r>
    </w:p>
    <w:p w14:paraId="6FA6E33D" w14:textId="77777777" w:rsidR="00712371" w:rsidRPr="00BE615F" w:rsidRDefault="00712371" w:rsidP="00BB293A">
      <w:pPr>
        <w:jc w:val="both"/>
        <w:rPr>
          <w:color w:val="000000" w:themeColor="text1"/>
        </w:rPr>
      </w:pPr>
    </w:p>
    <w:p w14:paraId="70687F09" w14:textId="1014F362" w:rsidR="00BB293A" w:rsidRPr="00BE615F" w:rsidRDefault="00BB293A" w:rsidP="00BB293A">
      <w:pPr>
        <w:pStyle w:val="western"/>
        <w:spacing w:before="0" w:after="0"/>
        <w:jc w:val="both"/>
        <w:rPr>
          <w:color w:val="000000" w:themeColor="text1"/>
          <w:lang w:eastAsia="pt-BR"/>
        </w:rPr>
      </w:pPr>
      <w:r w:rsidRPr="00BE615F">
        <w:rPr>
          <w:color w:val="000000" w:themeColor="text1"/>
          <w:lang w:eastAsia="pt-BR"/>
        </w:rPr>
        <w:t xml:space="preserve">Sala de Reuniões do Conselho Superior da Defensoria Pública do Estado, </w:t>
      </w:r>
      <w:r w:rsidR="00D733D3" w:rsidRPr="00BE615F">
        <w:rPr>
          <w:color w:val="000000" w:themeColor="text1"/>
          <w:lang w:eastAsia="pt-BR"/>
        </w:rPr>
        <w:t xml:space="preserve">aos </w:t>
      </w:r>
      <w:r w:rsidR="003F0A81">
        <w:rPr>
          <w:color w:val="000000" w:themeColor="text1"/>
          <w:lang w:eastAsia="pt-BR"/>
        </w:rPr>
        <w:t>quatro</w:t>
      </w:r>
      <w:r w:rsidRPr="00BE615F">
        <w:rPr>
          <w:color w:val="000000" w:themeColor="text1"/>
          <w:lang w:eastAsia="pt-BR"/>
        </w:rPr>
        <w:t xml:space="preserve"> dias do mês de </w:t>
      </w:r>
      <w:r w:rsidR="003F0A81">
        <w:rPr>
          <w:color w:val="000000" w:themeColor="text1"/>
          <w:lang w:eastAsia="pt-BR"/>
        </w:rPr>
        <w:t xml:space="preserve">junho </w:t>
      </w:r>
      <w:r w:rsidRPr="00BE615F">
        <w:rPr>
          <w:color w:val="000000" w:themeColor="text1"/>
          <w:lang w:eastAsia="pt-BR"/>
        </w:rPr>
        <w:t xml:space="preserve">do ano de dois mil e </w:t>
      </w:r>
      <w:r w:rsidR="00D733D3" w:rsidRPr="00BE615F">
        <w:rPr>
          <w:color w:val="000000" w:themeColor="text1"/>
          <w:lang w:eastAsia="pt-BR"/>
        </w:rPr>
        <w:t>vinte</w:t>
      </w:r>
      <w:r w:rsidRPr="00BE615F">
        <w:rPr>
          <w:color w:val="000000" w:themeColor="text1"/>
          <w:lang w:eastAsia="pt-BR"/>
        </w:rPr>
        <w:t>.</w:t>
      </w:r>
    </w:p>
    <w:p w14:paraId="73DE816A" w14:textId="77777777" w:rsidR="00BB293A" w:rsidRPr="00BE615F" w:rsidRDefault="00BB293A" w:rsidP="00BB293A">
      <w:pPr>
        <w:pStyle w:val="western"/>
        <w:spacing w:before="0" w:after="0"/>
        <w:jc w:val="both"/>
        <w:rPr>
          <w:color w:val="000000" w:themeColor="text1"/>
          <w:lang w:eastAsia="pt-BR"/>
        </w:rPr>
      </w:pPr>
    </w:p>
    <w:p w14:paraId="3A17B72B" w14:textId="77777777" w:rsidR="00BB293A" w:rsidRPr="00BE615F" w:rsidRDefault="00BB293A" w:rsidP="00BB293A">
      <w:pPr>
        <w:pStyle w:val="western"/>
        <w:spacing w:before="0" w:after="0"/>
        <w:jc w:val="both"/>
        <w:rPr>
          <w:color w:val="000000" w:themeColor="text1"/>
          <w:lang w:eastAsia="pt-BR"/>
        </w:rPr>
      </w:pPr>
    </w:p>
    <w:p w14:paraId="1A57FFF8" w14:textId="77777777" w:rsidR="003F0A81" w:rsidRPr="00BC528D" w:rsidRDefault="003F0A81" w:rsidP="003F0A81">
      <w:pPr>
        <w:jc w:val="both"/>
      </w:pPr>
      <w:r w:rsidRPr="00BC528D">
        <w:t>JENIFFER DE BARROS RODRIGUES</w:t>
      </w:r>
    </w:p>
    <w:p w14:paraId="3D037A93" w14:textId="77777777" w:rsidR="003F0A81" w:rsidRPr="00BC528D" w:rsidRDefault="003F0A81" w:rsidP="003F0A81">
      <w:pPr>
        <w:jc w:val="both"/>
      </w:pPr>
      <w:r w:rsidRPr="00BC528D">
        <w:t>Presidente do Conselho Superior</w:t>
      </w:r>
    </w:p>
    <w:p w14:paraId="49823D0F" w14:textId="77777777" w:rsidR="003F0A81" w:rsidRPr="00BC528D" w:rsidRDefault="003F0A81" w:rsidP="003F0A81">
      <w:pPr>
        <w:jc w:val="both"/>
      </w:pPr>
      <w:r w:rsidRPr="00BC528D">
        <w:t>Defensora Pública Geral</w:t>
      </w:r>
    </w:p>
    <w:p w14:paraId="246D3241" w14:textId="77777777" w:rsidR="003F0A81" w:rsidRPr="00BC528D" w:rsidRDefault="003F0A81" w:rsidP="003F0A81">
      <w:pPr>
        <w:jc w:val="both"/>
      </w:pPr>
      <w:r w:rsidRPr="00BC528D">
        <w:t>Membro Nato</w:t>
      </w:r>
    </w:p>
    <w:p w14:paraId="51E7B65F" w14:textId="77777777" w:rsidR="003F0A81" w:rsidRDefault="003F0A81" w:rsidP="003F0A81">
      <w:pPr>
        <w:jc w:val="both"/>
      </w:pPr>
    </w:p>
    <w:p w14:paraId="414C4BA7" w14:textId="77777777" w:rsidR="003F0A81" w:rsidRPr="00BC528D" w:rsidRDefault="003F0A81" w:rsidP="003F0A81">
      <w:pPr>
        <w:jc w:val="both"/>
      </w:pPr>
    </w:p>
    <w:p w14:paraId="26FF2A26" w14:textId="77777777" w:rsidR="003F0A81" w:rsidRPr="00BC528D" w:rsidRDefault="003F0A81" w:rsidP="003F0A81">
      <w:pPr>
        <w:jc w:val="both"/>
      </w:pPr>
      <w:r w:rsidRPr="00BC528D">
        <w:t>VLADIMIR</w:t>
      </w:r>
      <w:r>
        <w:t xml:space="preserve"> AUGUSTO DE CARVALHO LOBO E AVELINO</w:t>
      </w:r>
      <w:r w:rsidRPr="00BC528D">
        <w:t xml:space="preserve"> KOENIG </w:t>
      </w:r>
    </w:p>
    <w:p w14:paraId="2600BD89" w14:textId="77777777" w:rsidR="003F0A81" w:rsidRPr="00BC528D" w:rsidRDefault="003F0A81" w:rsidP="003F0A81">
      <w:pPr>
        <w:jc w:val="both"/>
      </w:pPr>
      <w:r w:rsidRPr="00BC528D">
        <w:t>Subdefensor</w:t>
      </w:r>
      <w:r>
        <w:t xml:space="preserve"> Público</w:t>
      </w:r>
      <w:r w:rsidRPr="00BC528D">
        <w:t xml:space="preserve"> Geral</w:t>
      </w:r>
    </w:p>
    <w:p w14:paraId="0574006C" w14:textId="77777777" w:rsidR="003F0A81" w:rsidRPr="00BC528D" w:rsidRDefault="003F0A81" w:rsidP="003F0A81">
      <w:pPr>
        <w:jc w:val="both"/>
      </w:pPr>
      <w:r w:rsidRPr="00BC528D">
        <w:t>Membro Nato</w:t>
      </w:r>
    </w:p>
    <w:p w14:paraId="4E40E5EE" w14:textId="77777777" w:rsidR="003F0A81" w:rsidRPr="00BC528D" w:rsidRDefault="003F0A81" w:rsidP="003F0A81">
      <w:pPr>
        <w:jc w:val="both"/>
      </w:pPr>
    </w:p>
    <w:p w14:paraId="2AC1CC3B" w14:textId="77777777" w:rsidR="003F0A81" w:rsidRPr="00BC528D" w:rsidRDefault="003F0A81" w:rsidP="003F0A81">
      <w:pPr>
        <w:jc w:val="both"/>
      </w:pPr>
    </w:p>
    <w:p w14:paraId="67C4B512" w14:textId="77777777" w:rsidR="003F0A81" w:rsidRPr="00BC528D" w:rsidRDefault="003F0A81" w:rsidP="003F0A81">
      <w:pPr>
        <w:jc w:val="both"/>
      </w:pPr>
      <w:r w:rsidRPr="00BC528D">
        <w:t>C</w:t>
      </w:r>
      <w:r>
        <w:t>É</w:t>
      </w:r>
      <w:r w:rsidRPr="00BC528D">
        <w:t>SAR</w:t>
      </w:r>
      <w:r>
        <w:t xml:space="preserve"> AUGUSTO</w:t>
      </w:r>
      <w:r w:rsidRPr="00BC528D">
        <w:t xml:space="preserve"> ASSAD</w:t>
      </w:r>
    </w:p>
    <w:p w14:paraId="006351E1" w14:textId="77777777" w:rsidR="003F0A81" w:rsidRPr="00BC528D" w:rsidRDefault="003F0A81" w:rsidP="003F0A81">
      <w:pPr>
        <w:jc w:val="both"/>
      </w:pPr>
      <w:r w:rsidRPr="00BC528D">
        <w:t>Corregedor Geral</w:t>
      </w:r>
    </w:p>
    <w:p w14:paraId="7D48CC26" w14:textId="77777777" w:rsidR="003F0A81" w:rsidRDefault="003F0A81" w:rsidP="003F0A81">
      <w:pPr>
        <w:jc w:val="both"/>
      </w:pPr>
      <w:r w:rsidRPr="00BC528D">
        <w:t>Membro Nato</w:t>
      </w:r>
    </w:p>
    <w:p w14:paraId="6CCCBC79" w14:textId="77777777" w:rsidR="003F0A81" w:rsidRDefault="003F0A81" w:rsidP="003F0A81">
      <w:pPr>
        <w:jc w:val="both"/>
      </w:pPr>
    </w:p>
    <w:p w14:paraId="05676120" w14:textId="77777777" w:rsidR="003F0A81" w:rsidRDefault="003F0A81" w:rsidP="003F0A81">
      <w:pPr>
        <w:jc w:val="both"/>
      </w:pPr>
    </w:p>
    <w:p w14:paraId="6A05C324" w14:textId="77777777" w:rsidR="003F0A81" w:rsidRPr="00BC528D" w:rsidRDefault="003F0A81" w:rsidP="003F0A81">
      <w:pPr>
        <w:jc w:val="both"/>
      </w:pPr>
      <w:r>
        <w:t>CARLOS DOS SANTOS SOUSA</w:t>
      </w:r>
    </w:p>
    <w:p w14:paraId="7A1C36F5" w14:textId="77777777" w:rsidR="003F0A81" w:rsidRPr="00BC528D" w:rsidRDefault="003F0A81" w:rsidP="003F0A81">
      <w:pPr>
        <w:pStyle w:val="western"/>
        <w:spacing w:before="0" w:after="0"/>
        <w:jc w:val="both"/>
      </w:pPr>
      <w:r w:rsidRPr="00BC528D">
        <w:t>Membro Titular</w:t>
      </w:r>
    </w:p>
    <w:p w14:paraId="27755103" w14:textId="77777777" w:rsidR="003F0A81" w:rsidRDefault="003F0A81" w:rsidP="003F0A81">
      <w:pPr>
        <w:pStyle w:val="western"/>
        <w:spacing w:before="0" w:after="0"/>
        <w:jc w:val="both"/>
      </w:pPr>
    </w:p>
    <w:p w14:paraId="5AB1AB3E" w14:textId="77777777" w:rsidR="003F0A81" w:rsidRPr="00BC528D" w:rsidRDefault="003F0A81" w:rsidP="003F0A81">
      <w:pPr>
        <w:pStyle w:val="western"/>
        <w:spacing w:before="0" w:after="0"/>
        <w:jc w:val="both"/>
      </w:pPr>
    </w:p>
    <w:p w14:paraId="6D034A7A" w14:textId="77777777" w:rsidR="003F0A81" w:rsidRDefault="003F0A81" w:rsidP="003F0A81">
      <w:pPr>
        <w:pStyle w:val="western"/>
        <w:spacing w:before="0" w:after="0"/>
        <w:jc w:val="both"/>
      </w:pPr>
      <w:r>
        <w:t>ANTÔNIO CARLOS DE ANDRADE MONTEIRO</w:t>
      </w:r>
    </w:p>
    <w:p w14:paraId="324D2C2C" w14:textId="77777777" w:rsidR="003F0A81" w:rsidRPr="00BC528D" w:rsidRDefault="003F0A81" w:rsidP="003F0A81">
      <w:pPr>
        <w:pStyle w:val="western"/>
        <w:spacing w:before="0" w:after="0"/>
        <w:jc w:val="both"/>
      </w:pPr>
      <w:r w:rsidRPr="00BC528D">
        <w:t>Membro Titular</w:t>
      </w:r>
    </w:p>
    <w:p w14:paraId="55A46595" w14:textId="77777777" w:rsidR="003F0A81" w:rsidRDefault="003F0A81" w:rsidP="003F0A81">
      <w:pPr>
        <w:pStyle w:val="western"/>
        <w:spacing w:before="0" w:after="0"/>
        <w:jc w:val="both"/>
      </w:pPr>
    </w:p>
    <w:p w14:paraId="1ED9D78D" w14:textId="77777777" w:rsidR="003F0A81" w:rsidRPr="00BC528D" w:rsidRDefault="003F0A81" w:rsidP="003F0A81">
      <w:pPr>
        <w:pStyle w:val="western"/>
        <w:spacing w:before="0" w:after="0"/>
        <w:jc w:val="both"/>
      </w:pPr>
    </w:p>
    <w:p w14:paraId="262F0E92" w14:textId="77777777" w:rsidR="003F0A81" w:rsidRDefault="003F0A81" w:rsidP="003F0A81">
      <w:pPr>
        <w:pStyle w:val="western"/>
        <w:spacing w:before="0" w:after="0"/>
        <w:jc w:val="both"/>
      </w:pPr>
      <w:r>
        <w:t>BRUNO BRAGA CAVALCANTE</w:t>
      </w:r>
    </w:p>
    <w:p w14:paraId="764EC26A" w14:textId="77777777" w:rsidR="003F0A81" w:rsidRPr="00BC528D" w:rsidRDefault="003F0A81" w:rsidP="003F0A81">
      <w:pPr>
        <w:pStyle w:val="western"/>
        <w:spacing w:before="0" w:after="0"/>
        <w:jc w:val="both"/>
      </w:pPr>
      <w:r w:rsidRPr="00BC528D">
        <w:t>Membro Titular</w:t>
      </w:r>
    </w:p>
    <w:p w14:paraId="4685525F" w14:textId="77777777" w:rsidR="003F0A81" w:rsidRDefault="003F0A81" w:rsidP="003F0A81">
      <w:pPr>
        <w:jc w:val="both"/>
      </w:pPr>
    </w:p>
    <w:p w14:paraId="03B5D5B7" w14:textId="77777777" w:rsidR="003F0A81" w:rsidRPr="00BC528D" w:rsidRDefault="003F0A81" w:rsidP="003F0A81">
      <w:pPr>
        <w:jc w:val="both"/>
      </w:pPr>
    </w:p>
    <w:p w14:paraId="71D480BB" w14:textId="77777777" w:rsidR="003F0A81" w:rsidRDefault="003F0A81" w:rsidP="003F0A81">
      <w:pPr>
        <w:jc w:val="both"/>
      </w:pPr>
      <w:r>
        <w:t>ALEXANDRE MARTINS BASTOS</w:t>
      </w:r>
    </w:p>
    <w:p w14:paraId="005B6911" w14:textId="77777777" w:rsidR="003F0A81" w:rsidRDefault="003F0A81" w:rsidP="003F0A81">
      <w:pPr>
        <w:jc w:val="both"/>
      </w:pPr>
      <w:r>
        <w:t>Membro Titular</w:t>
      </w:r>
    </w:p>
    <w:p w14:paraId="4DDA70A4" w14:textId="77777777" w:rsidR="003F0A81" w:rsidRDefault="003F0A81" w:rsidP="003F0A81">
      <w:pPr>
        <w:jc w:val="both"/>
      </w:pPr>
    </w:p>
    <w:p w14:paraId="502017A6" w14:textId="77777777" w:rsidR="003F0A81" w:rsidRDefault="003F0A81" w:rsidP="003F0A81">
      <w:pPr>
        <w:jc w:val="both"/>
      </w:pPr>
    </w:p>
    <w:p w14:paraId="7A381BE2" w14:textId="77777777" w:rsidR="003F0A81" w:rsidRDefault="003F0A81" w:rsidP="003F0A81">
      <w:pPr>
        <w:jc w:val="both"/>
      </w:pPr>
      <w:r>
        <w:t>JULIANA ANDRÉA OLIVEIRA</w:t>
      </w:r>
    </w:p>
    <w:p w14:paraId="5592B279" w14:textId="77777777" w:rsidR="003F0A81" w:rsidRDefault="003F0A81" w:rsidP="003F0A81">
      <w:pPr>
        <w:jc w:val="both"/>
      </w:pPr>
      <w:r>
        <w:t>Membro Titular</w:t>
      </w:r>
    </w:p>
    <w:p w14:paraId="77D5B215" w14:textId="77777777" w:rsidR="003F0A81" w:rsidRDefault="003F0A81" w:rsidP="003F0A81">
      <w:pPr>
        <w:jc w:val="both"/>
      </w:pPr>
    </w:p>
    <w:p w14:paraId="5C1DBF92" w14:textId="77777777" w:rsidR="003F0A81" w:rsidRDefault="003F0A81" w:rsidP="003F0A81">
      <w:pPr>
        <w:jc w:val="both"/>
      </w:pPr>
    </w:p>
    <w:p w14:paraId="7C4B2C43" w14:textId="77777777" w:rsidR="003F0A81" w:rsidRDefault="003F0A81" w:rsidP="003F0A81">
      <w:pPr>
        <w:jc w:val="both"/>
      </w:pPr>
      <w:r>
        <w:t>DOMINGOS LOPES PEREIRA</w:t>
      </w:r>
    </w:p>
    <w:p w14:paraId="6AEDF994" w14:textId="77777777" w:rsidR="003F0A81" w:rsidRDefault="003F0A81" w:rsidP="003F0A81">
      <w:pPr>
        <w:jc w:val="both"/>
      </w:pPr>
      <w:r>
        <w:t>Membro Titular</w:t>
      </w:r>
    </w:p>
    <w:p w14:paraId="468C8AB1" w14:textId="77777777" w:rsidR="003F0A81" w:rsidRDefault="003F0A81" w:rsidP="003F0A81">
      <w:pPr>
        <w:jc w:val="both"/>
      </w:pPr>
    </w:p>
    <w:p w14:paraId="18B17FBF" w14:textId="77777777" w:rsidR="003F0A81" w:rsidRDefault="003F0A81" w:rsidP="003F0A81">
      <w:pPr>
        <w:jc w:val="both"/>
      </w:pPr>
    </w:p>
    <w:p w14:paraId="6C7E74E3" w14:textId="77777777" w:rsidR="003F0A81" w:rsidRDefault="003F0A81" w:rsidP="003F0A81">
      <w:pPr>
        <w:jc w:val="both"/>
      </w:pPr>
      <w:r>
        <w:t>RENAN FRANÇA CHERMONT RODRIGUES</w:t>
      </w:r>
    </w:p>
    <w:p w14:paraId="4A5712A3" w14:textId="77777777" w:rsidR="003F0A81" w:rsidRDefault="003F0A81" w:rsidP="003F0A81">
      <w:pPr>
        <w:jc w:val="both"/>
      </w:pPr>
      <w:r>
        <w:t>Membro Titular</w:t>
      </w:r>
    </w:p>
    <w:p w14:paraId="0972DFE5" w14:textId="77777777" w:rsidR="003F0A81" w:rsidRDefault="003F0A81" w:rsidP="003F0A81">
      <w:pPr>
        <w:jc w:val="both"/>
      </w:pPr>
    </w:p>
    <w:p w14:paraId="1703FE27" w14:textId="77777777" w:rsidR="003F0A81" w:rsidRDefault="003F0A81" w:rsidP="003F0A81">
      <w:pPr>
        <w:jc w:val="both"/>
      </w:pPr>
    </w:p>
    <w:p w14:paraId="0F39ED38" w14:textId="77777777" w:rsidR="003F0A81" w:rsidRDefault="003F0A81" w:rsidP="003F0A81">
      <w:pPr>
        <w:jc w:val="both"/>
      </w:pPr>
      <w:r>
        <w:t>BEATRIZ FERREIRA DOS REIS</w:t>
      </w:r>
    </w:p>
    <w:p w14:paraId="3C4E4906" w14:textId="77777777" w:rsidR="003F0A81" w:rsidRDefault="003F0A81" w:rsidP="003F0A81">
      <w:pPr>
        <w:jc w:val="both"/>
      </w:pPr>
      <w:r>
        <w:t>Membro Titular</w:t>
      </w:r>
    </w:p>
    <w:p w14:paraId="40910B7E" w14:textId="10B567B3" w:rsidR="004C780D" w:rsidRPr="00BE615F" w:rsidRDefault="004C780D" w:rsidP="003F0A81">
      <w:pPr>
        <w:jc w:val="both"/>
        <w:rPr>
          <w:color w:val="000000" w:themeColor="text1"/>
        </w:rPr>
      </w:pPr>
    </w:p>
    <w:sectPr w:rsidR="004C780D" w:rsidRPr="00BE615F" w:rsidSect="0099110F">
      <w:headerReference w:type="default" r:id="rId8"/>
      <w:pgSz w:w="11906" w:h="16838"/>
      <w:pgMar w:top="851" w:right="1134" w:bottom="1418" w:left="1304" w:header="425"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051E7" w14:textId="77777777" w:rsidR="002347CF" w:rsidRDefault="002347CF">
      <w:r>
        <w:separator/>
      </w:r>
    </w:p>
  </w:endnote>
  <w:endnote w:type="continuationSeparator" w:id="0">
    <w:p w14:paraId="5B51FF97" w14:textId="77777777" w:rsidR="002347CF" w:rsidRDefault="002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A0E1E" w14:textId="77777777" w:rsidR="002347CF" w:rsidRDefault="002347CF">
      <w:r>
        <w:separator/>
      </w:r>
    </w:p>
  </w:footnote>
  <w:footnote w:type="continuationSeparator" w:id="0">
    <w:p w14:paraId="7929C018" w14:textId="77777777" w:rsidR="002347CF" w:rsidRDefault="002347CF">
      <w:r>
        <w:continuationSeparator/>
      </w:r>
    </w:p>
  </w:footnote>
  <w:footnote w:id="1">
    <w:p w14:paraId="49D07EBF" w14:textId="7FAE1AAA" w:rsidR="00875021" w:rsidRDefault="00875021">
      <w:pPr>
        <w:pStyle w:val="Textodenotaderodap"/>
      </w:pPr>
      <w:r>
        <w:rPr>
          <w:rStyle w:val="Refdenotaderodap"/>
        </w:rPr>
        <w:footnoteRef/>
      </w:r>
      <w:r>
        <w:t xml:space="preserve"> </w:t>
      </w:r>
      <w:r w:rsidRPr="001C615A">
        <w:t>Errata publicada no D.O.E. Nº 34.248, de 0</w:t>
      </w:r>
      <w:r>
        <w:t>9</w:t>
      </w:r>
      <w:r w:rsidRPr="001C615A">
        <w:t>.06.2020.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6C92" w14:textId="77777777" w:rsidR="009B0F93" w:rsidRDefault="00DC17D3">
    <w:pPr>
      <w:pStyle w:val="Cabealho"/>
      <w:jc w:val="center"/>
      <w:rPr>
        <w:rFonts w:ascii="Arial" w:hAnsi="Arial" w:cs="Arial"/>
        <w:b/>
        <w:sz w:val="22"/>
        <w:szCs w:val="22"/>
      </w:rPr>
    </w:pPr>
    <w:r>
      <w:rPr>
        <w:noProof/>
        <w:lang w:eastAsia="pt-BR"/>
      </w:rPr>
      <w:drawing>
        <wp:inline distT="0" distB="0" distL="0" distR="0" wp14:anchorId="540E026D" wp14:editId="388001DD">
          <wp:extent cx="533400" cy="664574"/>
          <wp:effectExtent l="0" t="0" r="0" b="2540"/>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3530" cy="677195"/>
                  </a:xfrm>
                  <a:prstGeom prst="rect">
                    <a:avLst/>
                  </a:prstGeom>
                </pic:spPr>
              </pic:pic>
            </a:graphicData>
          </a:graphic>
        </wp:inline>
      </w:drawing>
    </w:r>
  </w:p>
  <w:p w14:paraId="3D02FDC6" w14:textId="77777777" w:rsidR="009B0F93" w:rsidRPr="006D327D" w:rsidRDefault="00DC17D3">
    <w:pPr>
      <w:pStyle w:val="Cabealho"/>
      <w:jc w:val="center"/>
      <w:rPr>
        <w:b/>
        <w:sz w:val="22"/>
        <w:szCs w:val="22"/>
      </w:rPr>
    </w:pPr>
    <w:r w:rsidRPr="006D327D">
      <w:rPr>
        <w:b/>
        <w:sz w:val="22"/>
        <w:szCs w:val="22"/>
      </w:rPr>
      <w:t>ESTADO DO PARÁ</w:t>
    </w:r>
  </w:p>
  <w:p w14:paraId="36CE5B83" w14:textId="77777777" w:rsidR="009B0F93" w:rsidRPr="006D327D" w:rsidRDefault="00DC17D3">
    <w:pPr>
      <w:pStyle w:val="Cabealho"/>
      <w:jc w:val="center"/>
      <w:rPr>
        <w:b/>
        <w:sz w:val="22"/>
        <w:szCs w:val="22"/>
      </w:rPr>
    </w:pPr>
    <w:r w:rsidRPr="006D327D">
      <w:rPr>
        <w:b/>
        <w:sz w:val="22"/>
        <w:szCs w:val="22"/>
      </w:rPr>
      <w:t>DEFENSORIA PÚBLICA</w:t>
    </w:r>
  </w:p>
  <w:p w14:paraId="25998E7A" w14:textId="77777777" w:rsidR="009B0F93" w:rsidRPr="006D327D" w:rsidRDefault="00DC17D3">
    <w:pPr>
      <w:pStyle w:val="Cabealho"/>
      <w:jc w:val="center"/>
      <w:rPr>
        <w:b/>
        <w:sz w:val="22"/>
        <w:szCs w:val="22"/>
      </w:rPr>
    </w:pPr>
    <w:r w:rsidRPr="006D327D">
      <w:rPr>
        <w:b/>
        <w:sz w:val="22"/>
        <w:szCs w:val="22"/>
      </w:rPr>
      <w:t>CONSELHO SUPERIOR</w:t>
    </w:r>
  </w:p>
  <w:p w14:paraId="0EFBA8A7" w14:textId="77777777" w:rsidR="00F9339B" w:rsidRPr="006D327D" w:rsidRDefault="00F9339B">
    <w:pPr>
      <w:pStyle w:val="Cabealho"/>
      <w:jc w:val="cente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93"/>
    <w:rsid w:val="000648DB"/>
    <w:rsid w:val="000660B7"/>
    <w:rsid w:val="00105513"/>
    <w:rsid w:val="00111C89"/>
    <w:rsid w:val="00121221"/>
    <w:rsid w:val="001472A7"/>
    <w:rsid w:val="00153D2B"/>
    <w:rsid w:val="001706C4"/>
    <w:rsid w:val="00176355"/>
    <w:rsid w:val="00210849"/>
    <w:rsid w:val="002347CF"/>
    <w:rsid w:val="0023663D"/>
    <w:rsid w:val="00245DE6"/>
    <w:rsid w:val="0027103D"/>
    <w:rsid w:val="002C7B5C"/>
    <w:rsid w:val="002E43CB"/>
    <w:rsid w:val="002E47E7"/>
    <w:rsid w:val="0037047B"/>
    <w:rsid w:val="003714F8"/>
    <w:rsid w:val="003F0A81"/>
    <w:rsid w:val="00402662"/>
    <w:rsid w:val="00421EAB"/>
    <w:rsid w:val="00453C81"/>
    <w:rsid w:val="00454A11"/>
    <w:rsid w:val="00490E0B"/>
    <w:rsid w:val="004C7086"/>
    <w:rsid w:val="004C780D"/>
    <w:rsid w:val="005165EF"/>
    <w:rsid w:val="00523BDB"/>
    <w:rsid w:val="00541365"/>
    <w:rsid w:val="005D5261"/>
    <w:rsid w:val="005D60F3"/>
    <w:rsid w:val="00663667"/>
    <w:rsid w:val="006D327D"/>
    <w:rsid w:val="006F5FB1"/>
    <w:rsid w:val="00712371"/>
    <w:rsid w:val="00764A16"/>
    <w:rsid w:val="007B1473"/>
    <w:rsid w:val="00824705"/>
    <w:rsid w:val="00841B75"/>
    <w:rsid w:val="00846250"/>
    <w:rsid w:val="00875021"/>
    <w:rsid w:val="009075BE"/>
    <w:rsid w:val="009730D4"/>
    <w:rsid w:val="00983B5E"/>
    <w:rsid w:val="0099110F"/>
    <w:rsid w:val="009A12BB"/>
    <w:rsid w:val="009A2B51"/>
    <w:rsid w:val="009B0F93"/>
    <w:rsid w:val="00A820AF"/>
    <w:rsid w:val="00A9615B"/>
    <w:rsid w:val="00AC6724"/>
    <w:rsid w:val="00AD26ED"/>
    <w:rsid w:val="00AD5AA8"/>
    <w:rsid w:val="00B26BD9"/>
    <w:rsid w:val="00B6416C"/>
    <w:rsid w:val="00BB097F"/>
    <w:rsid w:val="00BB293A"/>
    <w:rsid w:val="00BC592D"/>
    <w:rsid w:val="00BE615F"/>
    <w:rsid w:val="00C17E2F"/>
    <w:rsid w:val="00C66093"/>
    <w:rsid w:val="00CD3C93"/>
    <w:rsid w:val="00D0007A"/>
    <w:rsid w:val="00D733D3"/>
    <w:rsid w:val="00D82AD9"/>
    <w:rsid w:val="00DB2C5C"/>
    <w:rsid w:val="00DC17D3"/>
    <w:rsid w:val="00DC4D8B"/>
    <w:rsid w:val="00ED6F65"/>
    <w:rsid w:val="00EE5E33"/>
    <w:rsid w:val="00F20EAA"/>
    <w:rsid w:val="00F4188A"/>
    <w:rsid w:val="00F44358"/>
    <w:rsid w:val="00F51635"/>
    <w:rsid w:val="00F9339B"/>
    <w:rsid w:val="00FD1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55E2A"/>
  <w15:docId w15:val="{1EA806F5-93E4-41D3-BE27-06D57538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link w:val="CabealhoChar"/>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qFormat/>
    <w:rsid w:val="00523BDB"/>
    <w:pPr>
      <w:spacing w:before="280" w:after="280"/>
    </w:pPr>
    <w:rPr>
      <w:noProof/>
    </w:rPr>
  </w:style>
  <w:style w:type="character" w:customStyle="1" w:styleId="CabealhoChar">
    <w:name w:val="Cabeçalho Char"/>
    <w:basedOn w:val="Fontepargpadro"/>
    <w:link w:val="Cabealho"/>
    <w:rsid w:val="009075BE"/>
    <w:rPr>
      <w:rFonts w:ascii="Times New Roman" w:eastAsia="Times New Roman" w:hAnsi="Times New Roman" w:cs="Times New Roman"/>
      <w:sz w:val="24"/>
      <w:lang w:bidi="ar-SA"/>
    </w:rPr>
  </w:style>
  <w:style w:type="character" w:styleId="Hyperlink">
    <w:name w:val="Hyperlink"/>
    <w:basedOn w:val="Fontepargpadro"/>
    <w:uiPriority w:val="99"/>
    <w:unhideWhenUsed/>
    <w:rsid w:val="00BE615F"/>
    <w:rPr>
      <w:color w:val="0563C1" w:themeColor="hyperlink"/>
      <w:u w:val="single"/>
    </w:rPr>
  </w:style>
  <w:style w:type="character" w:styleId="MenoPendente">
    <w:name w:val="Unresolved Mention"/>
    <w:basedOn w:val="Fontepargpadro"/>
    <w:uiPriority w:val="99"/>
    <w:semiHidden/>
    <w:unhideWhenUsed/>
    <w:rsid w:val="00BE615F"/>
    <w:rPr>
      <w:color w:val="605E5C"/>
      <w:shd w:val="clear" w:color="auto" w:fill="E1DFDD"/>
    </w:rPr>
  </w:style>
  <w:style w:type="paragraph" w:customStyle="1" w:styleId="Default">
    <w:name w:val="Default"/>
    <w:rsid w:val="003F0A81"/>
    <w:pPr>
      <w:autoSpaceDE w:val="0"/>
      <w:autoSpaceDN w:val="0"/>
      <w:adjustRightInd w:val="0"/>
    </w:pPr>
    <w:rPr>
      <w:rFonts w:ascii="Arial" w:eastAsia="Times New Roman" w:hAnsi="Arial" w:cs="Arial"/>
      <w:color w:val="000000"/>
      <w:sz w:val="24"/>
      <w:lang w:eastAsia="pt-BR" w:bidi="ar-SA"/>
    </w:rPr>
  </w:style>
  <w:style w:type="paragraph" w:styleId="Textodenotaderodap">
    <w:name w:val="footnote text"/>
    <w:basedOn w:val="Normal"/>
    <w:link w:val="TextodenotaderodapChar"/>
    <w:uiPriority w:val="99"/>
    <w:semiHidden/>
    <w:unhideWhenUsed/>
    <w:rsid w:val="00875021"/>
    <w:rPr>
      <w:sz w:val="20"/>
      <w:szCs w:val="20"/>
    </w:rPr>
  </w:style>
  <w:style w:type="character" w:customStyle="1" w:styleId="TextodenotaderodapChar">
    <w:name w:val="Texto de nota de rodapé Char"/>
    <w:basedOn w:val="Fontepargpadro"/>
    <w:link w:val="Textodenotaderodap"/>
    <w:uiPriority w:val="99"/>
    <w:semiHidden/>
    <w:rsid w:val="00875021"/>
    <w:rPr>
      <w:rFonts w:ascii="Times New Roman" w:eastAsia="Times New Roman" w:hAnsi="Times New Roman" w:cs="Times New Roman"/>
      <w:szCs w:val="20"/>
      <w:lang w:bidi="ar-SA"/>
    </w:rPr>
  </w:style>
  <w:style w:type="character" w:styleId="Refdenotaderodap">
    <w:name w:val="footnote reference"/>
    <w:basedOn w:val="Fontepargpadro"/>
    <w:uiPriority w:val="99"/>
    <w:semiHidden/>
    <w:unhideWhenUsed/>
    <w:rsid w:val="00875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7490">
      <w:bodyDiv w:val="1"/>
      <w:marLeft w:val="0"/>
      <w:marRight w:val="0"/>
      <w:marTop w:val="0"/>
      <w:marBottom w:val="0"/>
      <w:divBdr>
        <w:top w:val="none" w:sz="0" w:space="0" w:color="auto"/>
        <w:left w:val="none" w:sz="0" w:space="0" w:color="auto"/>
        <w:bottom w:val="none" w:sz="0" w:space="0" w:color="auto"/>
        <w:right w:val="none" w:sz="0" w:space="0" w:color="auto"/>
      </w:divBdr>
      <w:divsChild>
        <w:div w:id="1625192691">
          <w:marLeft w:val="0"/>
          <w:marRight w:val="0"/>
          <w:marTop w:val="0"/>
          <w:marBottom w:val="0"/>
          <w:divBdr>
            <w:top w:val="none" w:sz="0" w:space="0" w:color="auto"/>
            <w:left w:val="none" w:sz="0" w:space="0" w:color="auto"/>
            <w:bottom w:val="none" w:sz="0" w:space="0" w:color="auto"/>
            <w:right w:val="none" w:sz="0" w:space="0" w:color="auto"/>
          </w:divBdr>
        </w:div>
        <w:div w:id="597904970">
          <w:marLeft w:val="0"/>
          <w:marRight w:val="0"/>
          <w:marTop w:val="0"/>
          <w:marBottom w:val="0"/>
          <w:divBdr>
            <w:top w:val="none" w:sz="0" w:space="0" w:color="auto"/>
            <w:left w:val="none" w:sz="0" w:space="0" w:color="auto"/>
            <w:bottom w:val="none" w:sz="0" w:space="0" w:color="auto"/>
            <w:right w:val="none" w:sz="0" w:space="0" w:color="auto"/>
          </w:divBdr>
        </w:div>
      </w:divsChild>
    </w:div>
    <w:div w:id="371657176">
      <w:bodyDiv w:val="1"/>
      <w:marLeft w:val="0"/>
      <w:marRight w:val="0"/>
      <w:marTop w:val="0"/>
      <w:marBottom w:val="0"/>
      <w:divBdr>
        <w:top w:val="none" w:sz="0" w:space="0" w:color="auto"/>
        <w:left w:val="none" w:sz="0" w:space="0" w:color="auto"/>
        <w:bottom w:val="none" w:sz="0" w:space="0" w:color="auto"/>
        <w:right w:val="none" w:sz="0" w:space="0" w:color="auto"/>
      </w:divBdr>
    </w:div>
    <w:div w:id="2129080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eicoesouvidoria.dpp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38E7-3306-40FC-BC85-20300D5E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1253</Words>
  <Characters>6769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defensoria</dc:creator>
  <cp:lastModifiedBy>Pedro Queiroz</cp:lastModifiedBy>
  <cp:revision>2</cp:revision>
  <cp:lastPrinted>2019-11-13T13:55:00Z</cp:lastPrinted>
  <dcterms:created xsi:type="dcterms:W3CDTF">2020-06-09T15:31:00Z</dcterms:created>
  <dcterms:modified xsi:type="dcterms:W3CDTF">2020-06-09T15:31:00Z</dcterms:modified>
  <dc:language>pt-BR</dc:language>
</cp:coreProperties>
</file>